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D2E64" w14:textId="77777777" w:rsidR="006F0DDB" w:rsidRDefault="00000000">
      <w:pPr>
        <w:spacing w:after="0" w:line="259" w:lineRule="auto"/>
        <w:ind w:left="0" w:right="0" w:firstLine="0"/>
        <w:jc w:val="left"/>
      </w:pPr>
      <w:r>
        <w:rPr>
          <w:color w:val="4B2F62"/>
          <w:sz w:val="36"/>
        </w:rPr>
        <w:t xml:space="preserve">Urologic Nursing </w:t>
      </w:r>
    </w:p>
    <w:tbl>
      <w:tblPr>
        <w:tblStyle w:val="TableGrid"/>
        <w:tblW w:w="9780" w:type="dxa"/>
        <w:tblInd w:w="0" w:type="dxa"/>
        <w:tblCellMar>
          <w:top w:w="41" w:type="dxa"/>
          <w:left w:w="59" w:type="dxa"/>
          <w:bottom w:w="0" w:type="dxa"/>
          <w:right w:w="59" w:type="dxa"/>
        </w:tblCellMar>
        <w:tblLook w:val="04A0" w:firstRow="1" w:lastRow="0" w:firstColumn="1" w:lastColumn="0" w:noHBand="0" w:noVBand="1"/>
      </w:tblPr>
      <w:tblGrid>
        <w:gridCol w:w="1592"/>
        <w:gridCol w:w="8188"/>
      </w:tblGrid>
      <w:tr w:rsidR="006F0DDB" w14:paraId="49AE73C1" w14:textId="77777777">
        <w:trPr>
          <w:trHeight w:val="937"/>
        </w:trPr>
        <w:tc>
          <w:tcPr>
            <w:tcW w:w="1586" w:type="dxa"/>
            <w:tcBorders>
              <w:top w:val="single" w:sz="12" w:space="0" w:color="8982B3"/>
              <w:left w:val="nil"/>
              <w:bottom w:val="single" w:sz="12" w:space="0" w:color="8982B3"/>
              <w:right w:val="nil"/>
            </w:tcBorders>
            <w:vAlign w:val="center"/>
          </w:tcPr>
          <w:p w14:paraId="5DC97EC1" w14:textId="77777777" w:rsidR="006F0DDB" w:rsidRDefault="00000000">
            <w:pPr>
              <w:spacing w:after="0" w:line="259" w:lineRule="auto"/>
              <w:ind w:left="0" w:right="0" w:firstLine="0"/>
            </w:pPr>
            <w:r>
              <w:rPr>
                <w:rFonts w:ascii="Arial" w:eastAsia="Arial" w:hAnsi="Arial" w:cs="Arial"/>
                <w:i/>
                <w:color w:val="79639C"/>
                <w:sz w:val="52"/>
              </w:rPr>
              <w:t>NCPD</w:t>
            </w:r>
          </w:p>
        </w:tc>
        <w:tc>
          <w:tcPr>
            <w:tcW w:w="8194" w:type="dxa"/>
            <w:tcBorders>
              <w:top w:val="single" w:sz="12" w:space="0" w:color="8982B3"/>
              <w:left w:val="nil"/>
              <w:bottom w:val="single" w:sz="12" w:space="0" w:color="8982B3"/>
              <w:right w:val="nil"/>
            </w:tcBorders>
            <w:shd w:val="clear" w:color="auto" w:fill="E6E0ED"/>
          </w:tcPr>
          <w:p w14:paraId="16109672" w14:textId="77777777" w:rsidR="006F0DDB" w:rsidRDefault="00000000">
            <w:pPr>
              <w:spacing w:after="0" w:line="259" w:lineRule="auto"/>
              <w:ind w:left="0" w:right="0" w:firstLine="0"/>
              <w:jc w:val="center"/>
            </w:pPr>
            <w:r>
              <w:rPr>
                <w:rFonts w:ascii="Arial" w:eastAsia="Arial" w:hAnsi="Arial" w:cs="Arial"/>
                <w:color w:val="563C80"/>
                <w:sz w:val="22"/>
              </w:rPr>
              <w:t>Instructions for NCPD Contact Hours |</w:t>
            </w:r>
            <w:r>
              <w:rPr>
                <w:rFonts w:ascii="Arial" w:eastAsia="Arial" w:hAnsi="Arial" w:cs="Arial"/>
                <w:color w:val="009ED5"/>
                <w:sz w:val="22"/>
              </w:rPr>
              <w:t xml:space="preserve"> </w:t>
            </w:r>
            <w:r>
              <w:rPr>
                <w:rFonts w:ascii="Arial" w:eastAsia="Arial" w:hAnsi="Arial" w:cs="Arial"/>
                <w:sz w:val="14"/>
              </w:rPr>
              <w:t>UNJ 2309</w:t>
            </w:r>
            <w:r>
              <w:rPr>
                <w:rFonts w:ascii="Arial" w:eastAsia="Arial" w:hAnsi="Arial" w:cs="Arial"/>
                <w:color w:val="009ED5"/>
                <w:sz w:val="22"/>
                <w:vertAlign w:val="subscript"/>
              </w:rPr>
              <w:t xml:space="preserve"> </w:t>
            </w:r>
          </w:p>
          <w:p w14:paraId="15684F36" w14:textId="77777777" w:rsidR="006F0DDB" w:rsidRDefault="00000000">
            <w:pPr>
              <w:spacing w:after="20" w:line="235" w:lineRule="auto"/>
              <w:ind w:left="531" w:right="443" w:firstLine="0"/>
              <w:jc w:val="center"/>
            </w:pPr>
            <w:r>
              <w:rPr>
                <w:rFonts w:ascii="Arial" w:eastAsia="Arial" w:hAnsi="Arial" w:cs="Arial"/>
                <w:sz w:val="16"/>
              </w:rPr>
              <w:t xml:space="preserve">Nursing continuing professional development (NCPD) contact hours can be earned for </w:t>
            </w:r>
            <w:proofErr w:type="gramStart"/>
            <w:r>
              <w:rPr>
                <w:rFonts w:ascii="Arial" w:eastAsia="Arial" w:hAnsi="Arial" w:cs="Arial"/>
                <w:sz w:val="16"/>
              </w:rPr>
              <w:t>completing  the</w:t>
            </w:r>
            <w:proofErr w:type="gramEnd"/>
            <w:r>
              <w:rPr>
                <w:rFonts w:ascii="Arial" w:eastAsia="Arial" w:hAnsi="Arial" w:cs="Arial"/>
                <w:sz w:val="16"/>
              </w:rPr>
              <w:t xml:space="preserve"> learning activity associated with this article. Instructions are available at suna.org/library.  </w:t>
            </w:r>
          </w:p>
          <w:p w14:paraId="5DB37C25" w14:textId="77777777" w:rsidR="006F0DDB" w:rsidRDefault="00000000">
            <w:pPr>
              <w:spacing w:after="0" w:line="259" w:lineRule="auto"/>
              <w:ind w:left="0" w:right="0" w:firstLine="0"/>
              <w:jc w:val="center"/>
            </w:pPr>
            <w:r>
              <w:rPr>
                <w:rFonts w:ascii="Arial" w:eastAsia="Arial" w:hAnsi="Arial" w:cs="Arial"/>
                <w:sz w:val="16"/>
              </w:rPr>
              <w:t>Deadline for submission: August 31, 2025</w:t>
            </w:r>
          </w:p>
        </w:tc>
      </w:tr>
    </w:tbl>
    <w:p w14:paraId="449B848F" w14:textId="6BF07A71" w:rsidR="006F0DDB" w:rsidRDefault="00000000">
      <w:pPr>
        <w:spacing w:after="100" w:line="228" w:lineRule="auto"/>
        <w:ind w:right="105" w:firstLine="0"/>
        <w:jc w:val="left"/>
      </w:pPr>
      <w:r>
        <w:rPr>
          <w:sz w:val="40"/>
        </w:rPr>
        <w:t xml:space="preserve">Impact of Practice on Quality of Life of those Living with an Indwelling Urinary Catheter – An International Evaluation </w:t>
      </w:r>
    </w:p>
    <w:p w14:paraId="1D394CCD" w14:textId="77777777" w:rsidR="006F0DDB" w:rsidRDefault="00000000">
      <w:pPr>
        <w:spacing w:after="0" w:line="259" w:lineRule="auto"/>
        <w:ind w:right="0" w:firstLine="0"/>
      </w:pPr>
      <w:r>
        <w:rPr>
          <w:sz w:val="24"/>
        </w:rPr>
        <w:t xml:space="preserve">Ashley Shepherd, PhD, BA (Hons), RGN; Diane K. Newman, DNP, ANP-BC, FAAN; Christine Bradway, PhD, CRNP, FAAN, AGSF; Sandra Jost, PhD, RN; Debbie Waddell, PhD, Pg CAP, PgCert Research, BA (Hons), RGN, FHEA; William Gordon Mackay, PhD, PgCert TLHE, BSc. (Hons), MRSB, FHEA; and Suzanne Hagen, PhD, MSc, BSc (Hons), CStat </w:t>
      </w:r>
    </w:p>
    <w:p w14:paraId="3A4408B3" w14:textId="77777777" w:rsidR="006F0DDB" w:rsidRDefault="006F0DDB">
      <w:pPr>
        <w:sectPr w:rsidR="006F0DDB">
          <w:headerReference w:type="even" r:id="rId7"/>
          <w:headerReference w:type="default" r:id="rId8"/>
          <w:footerReference w:type="even" r:id="rId9"/>
          <w:footerReference w:type="default" r:id="rId10"/>
          <w:headerReference w:type="first" r:id="rId11"/>
          <w:footerReference w:type="first" r:id="rId12"/>
          <w:pgSz w:w="11700" w:h="15660"/>
          <w:pgMar w:top="697" w:right="980" w:bottom="964" w:left="960" w:header="720" w:footer="280" w:gutter="0"/>
          <w:pgNumType w:start="162"/>
          <w:cols w:space="720"/>
          <w:titlePg/>
        </w:sectPr>
      </w:pPr>
    </w:p>
    <w:p w14:paraId="5F0E85A8" w14:textId="77777777" w:rsidR="006F0DDB" w:rsidRDefault="00000000">
      <w:pPr>
        <w:pStyle w:val="Heading1"/>
      </w:pPr>
      <w:r>
        <w:t xml:space="preserve">Research </w:t>
      </w:r>
    </w:p>
    <w:p w14:paraId="4B2A5493" w14:textId="77777777" w:rsidR="006F0DDB" w:rsidRDefault="00000000">
      <w:pPr>
        <w:spacing w:after="108"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0387701F" wp14:editId="7DE51266">
                <wp:extent cx="2990850" cy="523297"/>
                <wp:effectExtent l="0" t="0" r="0" b="0"/>
                <wp:docPr id="30074" name="Group 30074"/>
                <wp:cNvGraphicFramePr/>
                <a:graphic xmlns:a="http://schemas.openxmlformats.org/drawingml/2006/main">
                  <a:graphicData uri="http://schemas.microsoft.com/office/word/2010/wordprocessingGroup">
                    <wpg:wgp>
                      <wpg:cNvGrpSpPr/>
                      <wpg:grpSpPr>
                        <a:xfrm>
                          <a:off x="0" y="0"/>
                          <a:ext cx="2990850" cy="523297"/>
                          <a:chOff x="0" y="0"/>
                          <a:chExt cx="2990850" cy="523297"/>
                        </a:xfrm>
                      </wpg:grpSpPr>
                      <wps:wsp>
                        <wps:cNvPr id="28" name="Rectangle 28"/>
                        <wps:cNvSpPr/>
                        <wps:spPr>
                          <a:xfrm>
                            <a:off x="333726" y="91185"/>
                            <a:ext cx="50352" cy="189517"/>
                          </a:xfrm>
                          <a:prstGeom prst="rect">
                            <a:avLst/>
                          </a:prstGeom>
                          <a:ln>
                            <a:noFill/>
                          </a:ln>
                        </wps:spPr>
                        <wps:txbx>
                          <w:txbxContent>
                            <w:p w14:paraId="5B309E26" w14:textId="77777777" w:rsidR="006F0DDB" w:rsidRDefault="00000000">
                              <w:pPr>
                                <w:spacing w:after="160" w:line="259" w:lineRule="auto"/>
                                <w:ind w:left="0" w:right="0" w:firstLine="0"/>
                                <w:jc w:val="left"/>
                              </w:pPr>
                              <w:r>
                                <w:rPr>
                                  <w:sz w:val="22"/>
                                </w:rPr>
                                <w:t xml:space="preserve"> </w:t>
                              </w:r>
                            </w:p>
                          </w:txbxContent>
                        </wps:txbx>
                        <wps:bodyPr horzOverflow="overflow" vert="horz" lIns="0" tIns="0" rIns="0" bIns="0" rtlCol="0">
                          <a:noAutofit/>
                        </wps:bodyPr>
                      </wps:wsp>
                      <wps:wsp>
                        <wps:cNvPr id="28932" name="Rectangle 28932"/>
                        <wps:cNvSpPr/>
                        <wps:spPr>
                          <a:xfrm>
                            <a:off x="375369" y="40384"/>
                            <a:ext cx="240055" cy="189517"/>
                          </a:xfrm>
                          <a:prstGeom prst="rect">
                            <a:avLst/>
                          </a:prstGeom>
                          <a:ln>
                            <a:noFill/>
                          </a:ln>
                        </wps:spPr>
                        <wps:txbx>
                          <w:txbxContent>
                            <w:p w14:paraId="13921EE1" w14:textId="77777777" w:rsidR="006F0DDB" w:rsidRDefault="00000000">
                              <w:pPr>
                                <w:spacing w:after="160" w:line="259" w:lineRule="auto"/>
                                <w:ind w:left="0" w:right="0" w:firstLine="0"/>
                                <w:jc w:val="left"/>
                              </w:pPr>
                              <w:r>
                                <w:rPr>
                                  <w:w w:val="103"/>
                                  <w:sz w:val="22"/>
                                </w:rPr>
                                <w:t>1.3</w:t>
                              </w:r>
                            </w:p>
                          </w:txbxContent>
                        </wps:txbx>
                        <wps:bodyPr horzOverflow="overflow" vert="horz" lIns="0" tIns="0" rIns="0" bIns="0" rtlCol="0">
                          <a:noAutofit/>
                        </wps:bodyPr>
                      </wps:wsp>
                      <wps:wsp>
                        <wps:cNvPr id="28933" name="Rectangle 28933"/>
                        <wps:cNvSpPr/>
                        <wps:spPr>
                          <a:xfrm>
                            <a:off x="555861" y="40384"/>
                            <a:ext cx="1217406" cy="189517"/>
                          </a:xfrm>
                          <a:prstGeom prst="rect">
                            <a:avLst/>
                          </a:prstGeom>
                          <a:ln>
                            <a:noFill/>
                          </a:ln>
                        </wps:spPr>
                        <wps:txbx>
                          <w:txbxContent>
                            <w:p w14:paraId="023A140C" w14:textId="77777777" w:rsidR="006F0DDB" w:rsidRDefault="00000000">
                              <w:pPr>
                                <w:spacing w:after="160" w:line="259" w:lineRule="auto"/>
                                <w:ind w:left="0" w:right="0" w:firstLine="0"/>
                                <w:jc w:val="left"/>
                              </w:pPr>
                              <w:r>
                                <w:rPr>
                                  <w:spacing w:val="11"/>
                                  <w:w w:val="116"/>
                                  <w:sz w:val="22"/>
                                </w:rPr>
                                <w:t xml:space="preserve"> </w:t>
                              </w:r>
                              <w:r>
                                <w:rPr>
                                  <w:w w:val="116"/>
                                  <w:sz w:val="22"/>
                                </w:rPr>
                                <w:t>contact</w:t>
                              </w:r>
                              <w:r>
                                <w:rPr>
                                  <w:spacing w:val="11"/>
                                  <w:w w:val="116"/>
                                  <w:sz w:val="22"/>
                                </w:rPr>
                                <w:t xml:space="preserve"> </w:t>
                              </w:r>
                              <w:proofErr w:type="gramStart"/>
                              <w:r>
                                <w:rPr>
                                  <w:w w:val="116"/>
                                  <w:sz w:val="22"/>
                                </w:rPr>
                                <w:t>hours</w:t>
                              </w:r>
                              <w:proofErr w:type="gramEnd"/>
                            </w:p>
                          </w:txbxContent>
                        </wps:txbx>
                        <wps:bodyPr horzOverflow="overflow" vert="horz" lIns="0" tIns="0" rIns="0" bIns="0" rtlCol="0">
                          <a:noAutofit/>
                        </wps:bodyPr>
                      </wps:wsp>
                      <wps:wsp>
                        <wps:cNvPr id="30" name="Shape 30"/>
                        <wps:cNvSpPr/>
                        <wps:spPr>
                          <a:xfrm>
                            <a:off x="12649" y="0"/>
                            <a:ext cx="321031" cy="194907"/>
                          </a:xfrm>
                          <a:custGeom>
                            <a:avLst/>
                            <a:gdLst/>
                            <a:ahLst/>
                            <a:cxnLst/>
                            <a:rect l="0" t="0" r="0" b="0"/>
                            <a:pathLst>
                              <a:path w="321031" h="194907">
                                <a:moveTo>
                                  <a:pt x="160515" y="0"/>
                                </a:moveTo>
                                <a:cubicBezTo>
                                  <a:pt x="249119" y="0"/>
                                  <a:pt x="321031" y="43659"/>
                                  <a:pt x="321031" y="97453"/>
                                </a:cubicBezTo>
                                <a:cubicBezTo>
                                  <a:pt x="321031" y="151247"/>
                                  <a:pt x="249119" y="194907"/>
                                  <a:pt x="160515" y="194907"/>
                                </a:cubicBezTo>
                                <a:cubicBezTo>
                                  <a:pt x="71907" y="194907"/>
                                  <a:pt x="0" y="151247"/>
                                  <a:pt x="0" y="97453"/>
                                </a:cubicBezTo>
                                <a:cubicBezTo>
                                  <a:pt x="0" y="43659"/>
                                  <a:pt x="71907" y="0"/>
                                  <a:pt x="160515" y="0"/>
                                </a:cubicBezTo>
                                <a:close/>
                              </a:path>
                            </a:pathLst>
                          </a:custGeom>
                          <a:ln w="0" cap="flat">
                            <a:miter lim="127000"/>
                          </a:ln>
                        </wps:spPr>
                        <wps:style>
                          <a:lnRef idx="0">
                            <a:srgbClr val="000000">
                              <a:alpha val="0"/>
                            </a:srgbClr>
                          </a:lnRef>
                          <a:fillRef idx="1">
                            <a:srgbClr val="563C80"/>
                          </a:fillRef>
                          <a:effectRef idx="0">
                            <a:scrgbClr r="0" g="0" b="0"/>
                          </a:effectRef>
                          <a:fontRef idx="none"/>
                        </wps:style>
                        <wps:bodyPr/>
                      </wps:wsp>
                      <wps:wsp>
                        <wps:cNvPr id="31" name="Shape 31"/>
                        <wps:cNvSpPr/>
                        <wps:spPr>
                          <a:xfrm>
                            <a:off x="187084" y="63684"/>
                            <a:ext cx="26930" cy="67005"/>
                          </a:xfrm>
                          <a:custGeom>
                            <a:avLst/>
                            <a:gdLst/>
                            <a:ahLst/>
                            <a:cxnLst/>
                            <a:rect l="0" t="0" r="0" b="0"/>
                            <a:pathLst>
                              <a:path w="26930" h="67005">
                                <a:moveTo>
                                  <a:pt x="0" y="0"/>
                                </a:moveTo>
                                <a:lnTo>
                                  <a:pt x="26930" y="0"/>
                                </a:lnTo>
                                <a:lnTo>
                                  <a:pt x="26930" y="11512"/>
                                </a:lnTo>
                                <a:lnTo>
                                  <a:pt x="26175" y="11456"/>
                                </a:lnTo>
                                <a:lnTo>
                                  <a:pt x="14732" y="11456"/>
                                </a:lnTo>
                                <a:lnTo>
                                  <a:pt x="14732" y="31534"/>
                                </a:lnTo>
                                <a:lnTo>
                                  <a:pt x="26175" y="31534"/>
                                </a:lnTo>
                                <a:lnTo>
                                  <a:pt x="26930" y="31477"/>
                                </a:lnTo>
                                <a:lnTo>
                                  <a:pt x="26930" y="42990"/>
                                </a:lnTo>
                                <a:lnTo>
                                  <a:pt x="14732" y="42990"/>
                                </a:lnTo>
                                <a:lnTo>
                                  <a:pt x="14732" y="67005"/>
                                </a:lnTo>
                                <a:lnTo>
                                  <a:pt x="0" y="6700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2" name="Shape 32"/>
                        <wps:cNvSpPr/>
                        <wps:spPr>
                          <a:xfrm>
                            <a:off x="47917" y="63684"/>
                            <a:ext cx="56591" cy="67005"/>
                          </a:xfrm>
                          <a:custGeom>
                            <a:avLst/>
                            <a:gdLst/>
                            <a:ahLst/>
                            <a:cxnLst/>
                            <a:rect l="0" t="0" r="0" b="0"/>
                            <a:pathLst>
                              <a:path w="56591" h="67005">
                                <a:moveTo>
                                  <a:pt x="0" y="0"/>
                                </a:moveTo>
                                <a:lnTo>
                                  <a:pt x="14643" y="0"/>
                                </a:lnTo>
                                <a:lnTo>
                                  <a:pt x="42608" y="44958"/>
                                </a:lnTo>
                                <a:lnTo>
                                  <a:pt x="42799" y="44958"/>
                                </a:lnTo>
                                <a:lnTo>
                                  <a:pt x="42799" y="0"/>
                                </a:lnTo>
                                <a:lnTo>
                                  <a:pt x="56591" y="0"/>
                                </a:lnTo>
                                <a:lnTo>
                                  <a:pt x="56591" y="67005"/>
                                </a:lnTo>
                                <a:lnTo>
                                  <a:pt x="41859" y="67005"/>
                                </a:lnTo>
                                <a:lnTo>
                                  <a:pt x="13983" y="22149"/>
                                </a:lnTo>
                                <a:lnTo>
                                  <a:pt x="13805" y="22149"/>
                                </a:lnTo>
                                <a:lnTo>
                                  <a:pt x="13805" y="67005"/>
                                </a:lnTo>
                                <a:lnTo>
                                  <a:pt x="0" y="6700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3" name="Shape 33"/>
                        <wps:cNvSpPr/>
                        <wps:spPr>
                          <a:xfrm>
                            <a:off x="114592" y="62097"/>
                            <a:ext cx="62408" cy="70104"/>
                          </a:xfrm>
                          <a:custGeom>
                            <a:avLst/>
                            <a:gdLst/>
                            <a:ahLst/>
                            <a:cxnLst/>
                            <a:rect l="0" t="0" r="0" b="0"/>
                            <a:pathLst>
                              <a:path w="62408" h="70104">
                                <a:moveTo>
                                  <a:pt x="32944" y="0"/>
                                </a:moveTo>
                                <a:cubicBezTo>
                                  <a:pt x="36627" y="0"/>
                                  <a:pt x="40119" y="521"/>
                                  <a:pt x="43409" y="1588"/>
                                </a:cubicBezTo>
                                <a:cubicBezTo>
                                  <a:pt x="46684" y="2654"/>
                                  <a:pt x="49632" y="4204"/>
                                  <a:pt x="52222" y="6236"/>
                                </a:cubicBezTo>
                                <a:cubicBezTo>
                                  <a:pt x="54826" y="8268"/>
                                  <a:pt x="56960" y="10782"/>
                                  <a:pt x="58649" y="13792"/>
                                </a:cubicBezTo>
                                <a:cubicBezTo>
                                  <a:pt x="60338" y="16789"/>
                                  <a:pt x="61404" y="20231"/>
                                  <a:pt x="61849" y="24117"/>
                                </a:cubicBezTo>
                                <a:lnTo>
                                  <a:pt x="47574" y="24117"/>
                                </a:lnTo>
                                <a:cubicBezTo>
                                  <a:pt x="47333" y="22428"/>
                                  <a:pt x="46761" y="20879"/>
                                  <a:pt x="45885" y="19469"/>
                                </a:cubicBezTo>
                                <a:cubicBezTo>
                                  <a:pt x="45009" y="18059"/>
                                  <a:pt x="43917" y="16828"/>
                                  <a:pt x="42608" y="15761"/>
                                </a:cubicBezTo>
                                <a:cubicBezTo>
                                  <a:pt x="41288" y="14694"/>
                                  <a:pt x="39802" y="13869"/>
                                  <a:pt x="38151" y="13272"/>
                                </a:cubicBezTo>
                                <a:cubicBezTo>
                                  <a:pt x="36487" y="12674"/>
                                  <a:pt x="34760" y="12383"/>
                                  <a:pt x="32944" y="12383"/>
                                </a:cubicBezTo>
                                <a:cubicBezTo>
                                  <a:pt x="29629" y="12383"/>
                                  <a:pt x="26810" y="13030"/>
                                  <a:pt x="24498" y="14313"/>
                                </a:cubicBezTo>
                                <a:cubicBezTo>
                                  <a:pt x="22174" y="15596"/>
                                  <a:pt x="20307" y="17310"/>
                                  <a:pt x="18860" y="19469"/>
                                </a:cubicBezTo>
                                <a:cubicBezTo>
                                  <a:pt x="17424" y="21628"/>
                                  <a:pt x="16370" y="24079"/>
                                  <a:pt x="15723" y="26835"/>
                                </a:cubicBezTo>
                                <a:cubicBezTo>
                                  <a:pt x="15062" y="29591"/>
                                  <a:pt x="14732" y="32436"/>
                                  <a:pt x="14732" y="35382"/>
                                </a:cubicBezTo>
                                <a:cubicBezTo>
                                  <a:pt x="14732" y="38189"/>
                                  <a:pt x="15062" y="40932"/>
                                  <a:pt x="15723" y="43586"/>
                                </a:cubicBezTo>
                                <a:cubicBezTo>
                                  <a:pt x="16370" y="46241"/>
                                  <a:pt x="17424" y="48641"/>
                                  <a:pt x="18860" y="50762"/>
                                </a:cubicBezTo>
                                <a:cubicBezTo>
                                  <a:pt x="20307" y="52896"/>
                                  <a:pt x="22174" y="54597"/>
                                  <a:pt x="24498" y="55880"/>
                                </a:cubicBezTo>
                                <a:cubicBezTo>
                                  <a:pt x="26810" y="57163"/>
                                  <a:pt x="29629" y="57810"/>
                                  <a:pt x="32944" y="57810"/>
                                </a:cubicBezTo>
                                <a:cubicBezTo>
                                  <a:pt x="37440" y="57810"/>
                                  <a:pt x="40958" y="56426"/>
                                  <a:pt x="43497" y="53670"/>
                                </a:cubicBezTo>
                                <a:cubicBezTo>
                                  <a:pt x="46038" y="50927"/>
                                  <a:pt x="47574" y="47295"/>
                                  <a:pt x="48146" y="42786"/>
                                </a:cubicBezTo>
                                <a:lnTo>
                                  <a:pt x="62408" y="42786"/>
                                </a:lnTo>
                                <a:cubicBezTo>
                                  <a:pt x="62027" y="46977"/>
                                  <a:pt x="61062" y="50762"/>
                                  <a:pt x="59500" y="54140"/>
                                </a:cubicBezTo>
                                <a:cubicBezTo>
                                  <a:pt x="57937" y="57518"/>
                                  <a:pt x="55867" y="60401"/>
                                  <a:pt x="53302" y="62776"/>
                                </a:cubicBezTo>
                                <a:cubicBezTo>
                                  <a:pt x="50736" y="65164"/>
                                  <a:pt x="47739" y="66967"/>
                                  <a:pt x="44298" y="68225"/>
                                </a:cubicBezTo>
                                <a:cubicBezTo>
                                  <a:pt x="40856" y="69469"/>
                                  <a:pt x="37071" y="70104"/>
                                  <a:pt x="32944" y="70104"/>
                                </a:cubicBezTo>
                                <a:cubicBezTo>
                                  <a:pt x="27813" y="70104"/>
                                  <a:pt x="23190" y="69202"/>
                                  <a:pt x="19101" y="67424"/>
                                </a:cubicBezTo>
                                <a:cubicBezTo>
                                  <a:pt x="14999" y="65646"/>
                                  <a:pt x="11544" y="63183"/>
                                  <a:pt x="8725" y="60058"/>
                                </a:cubicBezTo>
                                <a:cubicBezTo>
                                  <a:pt x="5906" y="56934"/>
                                  <a:pt x="3759" y="53251"/>
                                  <a:pt x="2248" y="49035"/>
                                </a:cubicBezTo>
                                <a:cubicBezTo>
                                  <a:pt x="749" y="44806"/>
                                  <a:pt x="0" y="40259"/>
                                  <a:pt x="0" y="35382"/>
                                </a:cubicBezTo>
                                <a:cubicBezTo>
                                  <a:pt x="0" y="30366"/>
                                  <a:pt x="749" y="25730"/>
                                  <a:pt x="2248" y="21437"/>
                                </a:cubicBezTo>
                                <a:cubicBezTo>
                                  <a:pt x="3759" y="17158"/>
                                  <a:pt x="5906" y="13411"/>
                                  <a:pt x="8725" y="10225"/>
                                </a:cubicBezTo>
                                <a:cubicBezTo>
                                  <a:pt x="11544" y="7036"/>
                                  <a:pt x="14999" y="4534"/>
                                  <a:pt x="19101" y="2718"/>
                                </a:cubicBezTo>
                                <a:cubicBezTo>
                                  <a:pt x="23190" y="902"/>
                                  <a:pt x="27813" y="0"/>
                                  <a:pt x="3294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4" name="Shape 34"/>
                        <wps:cNvSpPr/>
                        <wps:spPr>
                          <a:xfrm>
                            <a:off x="249707" y="63684"/>
                            <a:ext cx="29654" cy="67005"/>
                          </a:xfrm>
                          <a:custGeom>
                            <a:avLst/>
                            <a:gdLst/>
                            <a:ahLst/>
                            <a:cxnLst/>
                            <a:rect l="0" t="0" r="0" b="0"/>
                            <a:pathLst>
                              <a:path w="29654" h="67005">
                                <a:moveTo>
                                  <a:pt x="0" y="0"/>
                                </a:moveTo>
                                <a:lnTo>
                                  <a:pt x="28905" y="0"/>
                                </a:lnTo>
                                <a:lnTo>
                                  <a:pt x="29654" y="129"/>
                                </a:lnTo>
                                <a:lnTo>
                                  <a:pt x="29654" y="13141"/>
                                </a:lnTo>
                                <a:lnTo>
                                  <a:pt x="25248" y="12395"/>
                                </a:lnTo>
                                <a:lnTo>
                                  <a:pt x="14732" y="12395"/>
                                </a:lnTo>
                                <a:lnTo>
                                  <a:pt x="14732" y="54623"/>
                                </a:lnTo>
                                <a:lnTo>
                                  <a:pt x="27876" y="54623"/>
                                </a:lnTo>
                                <a:lnTo>
                                  <a:pt x="29654" y="54328"/>
                                </a:lnTo>
                                <a:lnTo>
                                  <a:pt x="29654" y="66861"/>
                                </a:lnTo>
                                <a:lnTo>
                                  <a:pt x="28905" y="67005"/>
                                </a:lnTo>
                                <a:lnTo>
                                  <a:pt x="0" y="67005"/>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5" name="Shape 35"/>
                        <wps:cNvSpPr/>
                        <wps:spPr>
                          <a:xfrm>
                            <a:off x="214014" y="63684"/>
                            <a:ext cx="26460" cy="42990"/>
                          </a:xfrm>
                          <a:custGeom>
                            <a:avLst/>
                            <a:gdLst/>
                            <a:ahLst/>
                            <a:cxnLst/>
                            <a:rect l="0" t="0" r="0" b="0"/>
                            <a:pathLst>
                              <a:path w="26460" h="42990">
                                <a:moveTo>
                                  <a:pt x="0" y="0"/>
                                </a:moveTo>
                                <a:lnTo>
                                  <a:pt x="3283" y="0"/>
                                </a:lnTo>
                                <a:cubicBezTo>
                                  <a:pt x="7474" y="0"/>
                                  <a:pt x="11043" y="610"/>
                                  <a:pt x="13989" y="1829"/>
                                </a:cubicBezTo>
                                <a:cubicBezTo>
                                  <a:pt x="16923" y="3048"/>
                                  <a:pt x="19323" y="4661"/>
                                  <a:pt x="21165" y="6667"/>
                                </a:cubicBezTo>
                                <a:cubicBezTo>
                                  <a:pt x="23006" y="8674"/>
                                  <a:pt x="24352" y="10947"/>
                                  <a:pt x="25203" y="13513"/>
                                </a:cubicBezTo>
                                <a:cubicBezTo>
                                  <a:pt x="26041" y="16078"/>
                                  <a:pt x="26460" y="18745"/>
                                  <a:pt x="26460" y="21488"/>
                                </a:cubicBezTo>
                                <a:cubicBezTo>
                                  <a:pt x="26460" y="24181"/>
                                  <a:pt x="26041" y="26822"/>
                                  <a:pt x="25203" y="29426"/>
                                </a:cubicBezTo>
                                <a:cubicBezTo>
                                  <a:pt x="24352" y="32017"/>
                                  <a:pt x="23006" y="34315"/>
                                  <a:pt x="21165" y="36322"/>
                                </a:cubicBezTo>
                                <a:cubicBezTo>
                                  <a:pt x="19323" y="38329"/>
                                  <a:pt x="16923" y="39941"/>
                                  <a:pt x="13989" y="41161"/>
                                </a:cubicBezTo>
                                <a:cubicBezTo>
                                  <a:pt x="11043" y="42380"/>
                                  <a:pt x="7474" y="42990"/>
                                  <a:pt x="3283" y="42990"/>
                                </a:cubicBezTo>
                                <a:lnTo>
                                  <a:pt x="0" y="42990"/>
                                </a:lnTo>
                                <a:lnTo>
                                  <a:pt x="0" y="31477"/>
                                </a:lnTo>
                                <a:lnTo>
                                  <a:pt x="4134" y="31166"/>
                                </a:lnTo>
                                <a:cubicBezTo>
                                  <a:pt x="5696" y="30912"/>
                                  <a:pt x="7067" y="30429"/>
                                  <a:pt x="8261" y="29705"/>
                                </a:cubicBezTo>
                                <a:cubicBezTo>
                                  <a:pt x="9442" y="28982"/>
                                  <a:pt x="10408" y="27965"/>
                                  <a:pt x="11119" y="26657"/>
                                </a:cubicBezTo>
                                <a:cubicBezTo>
                                  <a:pt x="11843" y="25336"/>
                                  <a:pt x="12198" y="23622"/>
                                  <a:pt x="12198" y="21488"/>
                                </a:cubicBezTo>
                                <a:cubicBezTo>
                                  <a:pt x="12198" y="19367"/>
                                  <a:pt x="11843" y="17653"/>
                                  <a:pt x="11119" y="16332"/>
                                </a:cubicBezTo>
                                <a:cubicBezTo>
                                  <a:pt x="10408" y="15024"/>
                                  <a:pt x="9442" y="14008"/>
                                  <a:pt x="8261" y="13284"/>
                                </a:cubicBezTo>
                                <a:cubicBezTo>
                                  <a:pt x="7067" y="12560"/>
                                  <a:pt x="5696" y="12078"/>
                                  <a:pt x="4134" y="11824"/>
                                </a:cubicBezTo>
                                <a:lnTo>
                                  <a:pt x="0" y="1151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36" name="Shape 36"/>
                        <wps:cNvSpPr/>
                        <wps:spPr>
                          <a:xfrm>
                            <a:off x="279362" y="63813"/>
                            <a:ext cx="29667" cy="66732"/>
                          </a:xfrm>
                          <a:custGeom>
                            <a:avLst/>
                            <a:gdLst/>
                            <a:ahLst/>
                            <a:cxnLst/>
                            <a:rect l="0" t="0" r="0" b="0"/>
                            <a:pathLst>
                              <a:path w="29667" h="66732">
                                <a:moveTo>
                                  <a:pt x="0" y="0"/>
                                </a:moveTo>
                                <a:lnTo>
                                  <a:pt x="11316" y="1941"/>
                                </a:lnTo>
                                <a:cubicBezTo>
                                  <a:pt x="15037" y="3313"/>
                                  <a:pt x="18263" y="5385"/>
                                  <a:pt x="20981" y="8139"/>
                                </a:cubicBezTo>
                                <a:cubicBezTo>
                                  <a:pt x="23698" y="10882"/>
                                  <a:pt x="25832" y="14324"/>
                                  <a:pt x="27369" y="18452"/>
                                </a:cubicBezTo>
                                <a:cubicBezTo>
                                  <a:pt x="28893" y="22592"/>
                                  <a:pt x="29667" y="27430"/>
                                  <a:pt x="29667" y="33006"/>
                                </a:cubicBezTo>
                                <a:cubicBezTo>
                                  <a:pt x="29667" y="37883"/>
                                  <a:pt x="29032" y="42391"/>
                                  <a:pt x="27788" y="46518"/>
                                </a:cubicBezTo>
                                <a:cubicBezTo>
                                  <a:pt x="26530" y="50646"/>
                                  <a:pt x="24638" y="54215"/>
                                  <a:pt x="22111" y="57212"/>
                                </a:cubicBezTo>
                                <a:cubicBezTo>
                                  <a:pt x="19571" y="60222"/>
                                  <a:pt x="16408" y="62584"/>
                                  <a:pt x="12624" y="64298"/>
                                </a:cubicBezTo>
                                <a:lnTo>
                                  <a:pt x="0" y="66732"/>
                                </a:lnTo>
                                <a:lnTo>
                                  <a:pt x="0" y="54199"/>
                                </a:lnTo>
                                <a:lnTo>
                                  <a:pt x="4420" y="53465"/>
                                </a:lnTo>
                                <a:cubicBezTo>
                                  <a:pt x="6414" y="52779"/>
                                  <a:pt x="8204" y="51636"/>
                                  <a:pt x="9766" y="50036"/>
                                </a:cubicBezTo>
                                <a:cubicBezTo>
                                  <a:pt x="11328" y="48436"/>
                                  <a:pt x="12586" y="46366"/>
                                  <a:pt x="13526" y="43801"/>
                                </a:cubicBezTo>
                                <a:cubicBezTo>
                                  <a:pt x="14453" y="41235"/>
                                  <a:pt x="14923" y="38098"/>
                                  <a:pt x="14923" y="34415"/>
                                </a:cubicBezTo>
                                <a:cubicBezTo>
                                  <a:pt x="14923" y="31037"/>
                                  <a:pt x="14605" y="27977"/>
                                  <a:pt x="13945" y="25259"/>
                                </a:cubicBezTo>
                                <a:cubicBezTo>
                                  <a:pt x="13284" y="22541"/>
                                  <a:pt x="12205" y="20204"/>
                                  <a:pt x="10706" y="18274"/>
                                </a:cubicBezTo>
                                <a:cubicBezTo>
                                  <a:pt x="9208" y="16332"/>
                                  <a:pt x="7214" y="14844"/>
                                  <a:pt x="4750" y="13816"/>
                                </a:cubicBezTo>
                                <a:lnTo>
                                  <a:pt x="0" y="1301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0" y="523297"/>
                            <a:ext cx="2990850" cy="0"/>
                          </a:xfrm>
                          <a:custGeom>
                            <a:avLst/>
                            <a:gdLst/>
                            <a:ahLst/>
                            <a:cxnLst/>
                            <a:rect l="0" t="0" r="0" b="0"/>
                            <a:pathLst>
                              <a:path w="2990850">
                                <a:moveTo>
                                  <a:pt x="0" y="0"/>
                                </a:moveTo>
                                <a:lnTo>
                                  <a:pt x="2990850" y="0"/>
                                </a:lnTo>
                              </a:path>
                            </a:pathLst>
                          </a:custGeom>
                          <a:ln w="12700" cap="flat">
                            <a:miter lim="127000"/>
                          </a:ln>
                        </wps:spPr>
                        <wps:style>
                          <a:lnRef idx="1">
                            <a:srgbClr val="563C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074" style="width:235.5pt;height:41.2045pt;mso-position-horizontal-relative:char;mso-position-vertical-relative:line" coordsize="29908,5232">
                <v:rect id="Rectangle 28" style="position:absolute;width:503;height:1895;left:3337;top:911;" filled="f" stroked="f">
                  <v:textbox inset="0,0,0,0">
                    <w:txbxContent>
                      <w:p>
                        <w:pPr>
                          <w:spacing w:before="0" w:after="160" w:line="259" w:lineRule="auto"/>
                          <w:ind w:left="0" w:right="0" w:firstLine="0"/>
                          <w:jc w:val="left"/>
                        </w:pPr>
                        <w:r>
                          <w:rPr>
                            <w:rFonts w:cs="Times New Roman" w:hAnsi="Times New Roman" w:eastAsia="Times New Roman" w:ascii="Times New Roman"/>
                            <w:sz w:val="22"/>
                          </w:rPr>
                          <w:t xml:space="preserve"> </w:t>
                        </w:r>
                      </w:p>
                    </w:txbxContent>
                  </v:textbox>
                </v:rect>
                <v:rect id="Rectangle 28932" style="position:absolute;width:2400;height:1895;left:3753;top:403;" filled="f" stroked="f">
                  <v:textbox inset="0,0,0,0">
                    <w:txbxContent>
                      <w:p>
                        <w:pPr>
                          <w:spacing w:before="0" w:after="160" w:line="259" w:lineRule="auto"/>
                          <w:ind w:left="0" w:right="0" w:firstLine="0"/>
                          <w:jc w:val="left"/>
                        </w:pPr>
                        <w:r>
                          <w:rPr>
                            <w:rFonts w:cs="Times New Roman" w:hAnsi="Times New Roman" w:eastAsia="Times New Roman" w:ascii="Times New Roman"/>
                            <w:w w:val="103"/>
                            <w:sz w:val="22"/>
                          </w:rPr>
                          <w:t xml:space="preserve">1.3</w:t>
                        </w:r>
                      </w:p>
                    </w:txbxContent>
                  </v:textbox>
                </v:rect>
                <v:rect id="Rectangle 28933" style="position:absolute;width:12174;height:1895;left:5558;top:403;" filled="f" stroked="f">
                  <v:textbox inset="0,0,0,0">
                    <w:txbxContent>
                      <w:p>
                        <w:pPr>
                          <w:spacing w:before="0" w:after="160" w:line="259" w:lineRule="auto"/>
                          <w:ind w:left="0" w:right="0" w:firstLine="0"/>
                          <w:jc w:val="left"/>
                        </w:pPr>
                        <w:r>
                          <w:rPr>
                            <w:rFonts w:cs="Times New Roman" w:hAnsi="Times New Roman" w:eastAsia="Times New Roman" w:ascii="Times New Roman"/>
                            <w:spacing w:val="11"/>
                            <w:w w:val="116"/>
                            <w:sz w:val="22"/>
                          </w:rPr>
                          <w:t xml:space="preserve"> </w:t>
                        </w:r>
                        <w:r>
                          <w:rPr>
                            <w:rFonts w:cs="Times New Roman" w:hAnsi="Times New Roman" w:eastAsia="Times New Roman" w:ascii="Times New Roman"/>
                            <w:w w:val="116"/>
                            <w:sz w:val="22"/>
                          </w:rPr>
                          <w:t xml:space="preserve">contact</w:t>
                        </w:r>
                        <w:r>
                          <w:rPr>
                            <w:rFonts w:cs="Times New Roman" w:hAnsi="Times New Roman" w:eastAsia="Times New Roman" w:ascii="Times New Roman"/>
                            <w:spacing w:val="11"/>
                            <w:w w:val="116"/>
                            <w:sz w:val="22"/>
                          </w:rPr>
                          <w:t xml:space="preserve"> </w:t>
                        </w:r>
                        <w:r>
                          <w:rPr>
                            <w:rFonts w:cs="Times New Roman" w:hAnsi="Times New Roman" w:eastAsia="Times New Roman" w:ascii="Times New Roman"/>
                            <w:w w:val="116"/>
                            <w:sz w:val="22"/>
                          </w:rPr>
                          <w:t xml:space="preserve">hours</w:t>
                        </w:r>
                      </w:p>
                    </w:txbxContent>
                  </v:textbox>
                </v:rect>
                <v:shape id="Shape 30" style="position:absolute;width:3210;height:1949;left:126;top:0;" coordsize="321031,194907" path="m160515,0c249119,0,321031,43659,321031,97453c321031,151247,249119,194907,160515,194907c71907,194907,0,151247,0,97453c0,43659,71907,0,160515,0x">
                  <v:stroke weight="0pt" endcap="flat" joinstyle="miter" miterlimit="10" on="false" color="#000000" opacity="0"/>
                  <v:fill on="true" color="#563c80"/>
                </v:shape>
                <v:shape id="Shape 31" style="position:absolute;width:269;height:670;left:1870;top:636;" coordsize="26930,67005" path="m0,0l26930,0l26930,11512l26175,11456l14732,11456l14732,31534l26175,31534l26930,31477l26930,42990l14732,42990l14732,67005l0,67005l0,0x">
                  <v:stroke weight="0pt" endcap="flat" joinstyle="miter" miterlimit="10" on="false" color="#000000" opacity="0"/>
                  <v:fill on="true" color="#fffefd"/>
                </v:shape>
                <v:shape id="Shape 32" style="position:absolute;width:565;height:670;left:479;top:636;" coordsize="56591,67005" path="m0,0l14643,0l42608,44958l42799,44958l42799,0l56591,0l56591,67005l41859,67005l13983,22149l13805,22149l13805,67005l0,67005l0,0x">
                  <v:stroke weight="0pt" endcap="flat" joinstyle="miter" miterlimit="10" on="false" color="#000000" opacity="0"/>
                  <v:fill on="true" color="#fffefd"/>
                </v:shape>
                <v:shape id="Shape 33" style="position:absolute;width:624;height:701;left:1145;top:620;" coordsize="62408,70104" path="m32944,0c36627,0,40119,521,43409,1588c46684,2654,49632,4204,52222,6236c54826,8268,56960,10782,58649,13792c60338,16789,61404,20231,61849,24117l47574,24117c47333,22428,46761,20879,45885,19469c45009,18059,43917,16828,42608,15761c41288,14694,39802,13869,38151,13272c36487,12674,34760,12383,32944,12383c29629,12383,26810,13030,24498,14313c22174,15596,20307,17310,18860,19469c17424,21628,16370,24079,15723,26835c15062,29591,14732,32436,14732,35382c14732,38189,15062,40932,15723,43586c16370,46241,17424,48641,18860,50762c20307,52896,22174,54597,24498,55880c26810,57163,29629,57810,32944,57810c37440,57810,40958,56426,43497,53670c46038,50927,47574,47295,48146,42786l62408,42786c62027,46977,61062,50762,59500,54140c57937,57518,55867,60401,53302,62776c50736,65164,47739,66967,44298,68225c40856,69469,37071,70104,32944,70104c27813,70104,23190,69202,19101,67424c14999,65646,11544,63183,8725,60058c5906,56934,3759,53251,2248,49035c749,44806,0,40259,0,35382c0,30366,749,25730,2248,21437c3759,17158,5906,13411,8725,10225c11544,7036,14999,4534,19101,2718c23190,902,27813,0,32944,0x">
                  <v:stroke weight="0pt" endcap="flat" joinstyle="miter" miterlimit="10" on="false" color="#000000" opacity="0"/>
                  <v:fill on="true" color="#fffefd"/>
                </v:shape>
                <v:shape id="Shape 34" style="position:absolute;width:296;height:670;left:2497;top:636;" coordsize="29654,67005" path="m0,0l28905,0l29654,129l29654,13141l25248,12395l14732,12395l14732,54623l27876,54623l29654,54328l29654,66861l28905,67005l0,67005l0,0x">
                  <v:stroke weight="0pt" endcap="flat" joinstyle="miter" miterlimit="10" on="false" color="#000000" opacity="0"/>
                  <v:fill on="true" color="#fffefd"/>
                </v:shape>
                <v:shape id="Shape 35" style="position:absolute;width:264;height:429;left:2140;top:636;" coordsize="26460,42990" path="m0,0l3283,0c7474,0,11043,610,13989,1829c16923,3048,19323,4661,21165,6667c23006,8674,24352,10947,25203,13513c26041,16078,26460,18745,26460,21488c26460,24181,26041,26822,25203,29426c24352,32017,23006,34315,21165,36322c19323,38329,16923,39941,13989,41161c11043,42380,7474,42990,3283,42990l0,42990l0,31477l4134,31166c5696,30912,7067,30429,8261,29705c9442,28982,10408,27965,11119,26657c11843,25336,12198,23622,12198,21488c12198,19367,11843,17653,11119,16332c10408,15024,9442,14008,8261,13284c7067,12560,5696,12078,4134,11824l0,11512l0,0x">
                  <v:stroke weight="0pt" endcap="flat" joinstyle="miter" miterlimit="10" on="false" color="#000000" opacity="0"/>
                  <v:fill on="true" color="#fffefd"/>
                </v:shape>
                <v:shape id="Shape 36" style="position:absolute;width:296;height:667;left:2793;top:638;" coordsize="29667,66732" path="m0,0l11316,1941c15037,3313,18263,5385,20981,8139c23698,10882,25832,14324,27369,18452c28893,22592,29667,27430,29667,33006c29667,37883,29032,42391,27788,46518c26530,50646,24638,54215,22111,57212c19571,60222,16408,62584,12624,64298l0,66732l0,54199l4420,53465c6414,52779,8204,51636,9766,50036c11328,48436,12586,46366,13526,43801c14453,41235,14923,38098,14923,34415c14923,31037,14605,27977,13945,25259c13284,22541,12205,20204,10706,18274c9208,16332,7214,14844,4750,13816l0,13012l0,0x">
                  <v:stroke weight="0pt" endcap="flat" joinstyle="miter" miterlimit="10" on="false" color="#000000" opacity="0"/>
                  <v:fill on="true" color="#fffefd"/>
                </v:shape>
                <v:shape id="Shape 110" style="position:absolute;width:29908;height:0;left:0;top:5232;" coordsize="2990850,0" path="m0,0l2990850,0">
                  <v:stroke weight="1pt" endcap="flat" joinstyle="miter" miterlimit="10" on="true" color="#563c80"/>
                  <v:fill on="false" color="#000000" opacity="0"/>
                </v:shape>
              </v:group>
            </w:pict>
          </mc:Fallback>
        </mc:AlternateContent>
      </w:r>
    </w:p>
    <w:p w14:paraId="31FB5D60" w14:textId="77777777" w:rsidR="006F0DDB" w:rsidRDefault="00000000">
      <w:pPr>
        <w:spacing w:after="55" w:line="259" w:lineRule="auto"/>
        <w:ind w:left="-5" w:right="35" w:hanging="10"/>
      </w:pPr>
      <w:r>
        <w:rPr>
          <w:color w:val="563C80"/>
          <w:sz w:val="18"/>
        </w:rPr>
        <w:t>© 2023 Society of Urologic Nurses and Associates</w:t>
      </w:r>
      <w:r>
        <w:rPr>
          <w:rFonts w:ascii="Arial" w:eastAsia="Arial" w:hAnsi="Arial" w:cs="Arial"/>
          <w:color w:val="563C80"/>
          <w:sz w:val="18"/>
        </w:rPr>
        <w:t xml:space="preserve"> </w:t>
      </w:r>
    </w:p>
    <w:p w14:paraId="1339FAC7" w14:textId="77777777" w:rsidR="006F0DDB" w:rsidRDefault="00000000">
      <w:pPr>
        <w:spacing w:after="0" w:line="259" w:lineRule="auto"/>
        <w:ind w:left="345" w:right="35" w:hanging="360"/>
      </w:pPr>
      <w:r>
        <w:rPr>
          <w:color w:val="563C80"/>
          <w:sz w:val="18"/>
        </w:rPr>
        <w:t xml:space="preserve">Shepherd, A., Newman, D.K., Bradway, C., Jost, S., Waddell, D., Mackay, W.G., &amp; Hagen, S. (2023). Impact of practice on quality of life of those living with an indwelling urinary catheter – An international evaluation. </w:t>
      </w:r>
      <w:r>
        <w:rPr>
          <w:i/>
          <w:color w:val="563C80"/>
          <w:sz w:val="18"/>
        </w:rPr>
        <w:t>Urologic Nursing, 43</w:t>
      </w:r>
      <w:r>
        <w:rPr>
          <w:color w:val="563C80"/>
          <w:sz w:val="18"/>
        </w:rPr>
        <w:t>(4), 162-171, 176. https://doi.org/10.7257/2168-4626.</w:t>
      </w:r>
    </w:p>
    <w:p w14:paraId="32566209" w14:textId="77777777" w:rsidR="006F0DDB" w:rsidRDefault="00000000">
      <w:pPr>
        <w:spacing w:after="0" w:line="259" w:lineRule="auto"/>
        <w:ind w:left="370" w:right="35" w:hanging="10"/>
      </w:pPr>
      <w:r>
        <w:rPr>
          <w:color w:val="563C80"/>
          <w:sz w:val="18"/>
        </w:rPr>
        <w:t>2023.43.4.162</w:t>
      </w:r>
    </w:p>
    <w:tbl>
      <w:tblPr>
        <w:tblStyle w:val="TableGrid"/>
        <w:tblW w:w="4710" w:type="dxa"/>
        <w:tblInd w:w="0" w:type="dxa"/>
        <w:tblCellMar>
          <w:top w:w="97" w:type="dxa"/>
          <w:left w:w="0" w:type="dxa"/>
          <w:bottom w:w="0" w:type="dxa"/>
          <w:right w:w="0" w:type="dxa"/>
        </w:tblCellMar>
        <w:tblLook w:val="04A0" w:firstRow="1" w:lastRow="0" w:firstColumn="1" w:lastColumn="0" w:noHBand="0" w:noVBand="1"/>
      </w:tblPr>
      <w:tblGrid>
        <w:gridCol w:w="4710"/>
      </w:tblGrid>
      <w:tr w:rsidR="006F0DDB" w14:paraId="1DA4C63B" w14:textId="77777777">
        <w:trPr>
          <w:trHeight w:val="1375"/>
        </w:trPr>
        <w:tc>
          <w:tcPr>
            <w:tcW w:w="4710" w:type="dxa"/>
            <w:tcBorders>
              <w:top w:val="nil"/>
              <w:left w:val="nil"/>
              <w:bottom w:val="nil"/>
              <w:right w:val="nil"/>
            </w:tcBorders>
            <w:shd w:val="clear" w:color="auto" w:fill="EDE7F1"/>
          </w:tcPr>
          <w:p w14:paraId="36FBC085" w14:textId="77777777" w:rsidR="006F0DDB" w:rsidRDefault="00000000">
            <w:pPr>
              <w:spacing w:after="0" w:line="259" w:lineRule="auto"/>
              <w:ind w:left="80" w:right="0" w:firstLine="0"/>
              <w:jc w:val="left"/>
            </w:pPr>
            <w:r>
              <w:rPr>
                <w:color w:val="563C80"/>
                <w:sz w:val="18"/>
              </w:rPr>
              <w:t>Abstract</w:t>
            </w:r>
            <w:r>
              <w:rPr>
                <w:sz w:val="18"/>
              </w:rPr>
              <w:t xml:space="preserve"> </w:t>
            </w:r>
          </w:p>
          <w:p w14:paraId="73159291" w14:textId="77777777" w:rsidR="006F0DDB" w:rsidRDefault="00000000">
            <w:pPr>
              <w:spacing w:after="0" w:line="259" w:lineRule="auto"/>
              <w:ind w:left="80" w:right="80" w:firstLine="0"/>
            </w:pPr>
            <w:r>
              <w:rPr>
                <w:sz w:val="18"/>
              </w:rPr>
              <w:t>The numerous complications associated with long-term in dwelling urinary catheter use can impact patients’ everyday lives. This is the first international study to compare catheter care, complications, and the quality of life of patients from the United Kingdom and the United States.</w:t>
            </w:r>
          </w:p>
        </w:tc>
      </w:tr>
      <w:tr w:rsidR="006F0DDB" w14:paraId="1F4BE98A" w14:textId="77777777">
        <w:trPr>
          <w:trHeight w:val="793"/>
        </w:trPr>
        <w:tc>
          <w:tcPr>
            <w:tcW w:w="4710" w:type="dxa"/>
            <w:tcBorders>
              <w:top w:val="nil"/>
              <w:left w:val="nil"/>
              <w:bottom w:val="single" w:sz="8" w:space="0" w:color="563C80"/>
              <w:right w:val="nil"/>
            </w:tcBorders>
            <w:shd w:val="clear" w:color="auto" w:fill="FFFEFD"/>
          </w:tcPr>
          <w:p w14:paraId="55557B28" w14:textId="77777777" w:rsidR="006F0DDB" w:rsidRDefault="00000000">
            <w:pPr>
              <w:spacing w:after="16" w:line="259" w:lineRule="auto"/>
              <w:ind w:left="0" w:right="0" w:firstLine="0"/>
              <w:jc w:val="left"/>
            </w:pPr>
            <w:r>
              <w:rPr>
                <w:color w:val="563C80"/>
                <w:sz w:val="18"/>
              </w:rPr>
              <w:t>Keywords</w:t>
            </w:r>
            <w:r>
              <w:rPr>
                <w:rFonts w:ascii="Arial" w:eastAsia="Arial" w:hAnsi="Arial" w:cs="Arial"/>
                <w:color w:val="563C80"/>
                <w:sz w:val="18"/>
              </w:rPr>
              <w:t xml:space="preserve"> </w:t>
            </w:r>
          </w:p>
          <w:p w14:paraId="4B629070" w14:textId="77777777" w:rsidR="006F0DDB" w:rsidRDefault="00000000">
            <w:pPr>
              <w:spacing w:after="0" w:line="259" w:lineRule="auto"/>
              <w:ind w:left="0" w:right="0" w:firstLine="0"/>
            </w:pPr>
            <w:r>
              <w:rPr>
                <w:sz w:val="18"/>
              </w:rPr>
              <w:t>Home health nurses, urology, urethral catheter, suprapubic catheter, urinary catheter care.</w:t>
            </w:r>
          </w:p>
        </w:tc>
      </w:tr>
    </w:tbl>
    <w:p w14:paraId="3E4B063C" w14:textId="77777777" w:rsidR="006F0DDB" w:rsidRDefault="00000000">
      <w:pPr>
        <w:ind w:left="5" w:right="5"/>
      </w:pPr>
      <w:r>
        <w:t xml:space="preserve">Indwelling urinary catheters (IUCs) are necessary to treat urinary retention and incomplete bladder emptying in men and women. In the United Kingdom, prevalence studies report that 6% to 13% of individuals in the community have a urinary catheter (Health Protection Surveillance Centre 2012; Royal College of Physicians, 2005). In the United States, 9% of older adults receiving home health services (2007-2012) reported using an IUC to manage urinary incontinence (UI) (Gorina et al., 2014), although IUCs are not recommended for use in individuals with UI (Gould et al., 2009). Between 15% and 25% of hospitalized patients may receive short-term IUCs, and emergency departments are a major source of urinary catheters (Schuur et al., 2014). Moreover, up to 13% of men and 12% of women in the United States have an IUC on admission to a nursing home, and long-term use has been reported as 5% to 8% (Castle et al., 2017; Rogers et al., </w:t>
      </w:r>
      <w:r>
        <w:t xml:space="preserve">2008; Tsan et al., 2010). However, the overall prevalence of long-term IUCs is not known.  </w:t>
      </w:r>
    </w:p>
    <w:p w14:paraId="5F3B00FD" w14:textId="77777777" w:rsidR="006F0DDB" w:rsidRDefault="00000000">
      <w:pPr>
        <w:spacing w:after="375"/>
        <w:ind w:left="5" w:right="5"/>
      </w:pPr>
      <w:r>
        <w:t xml:space="preserve">With a rise in both the aging population and the number of people living with chronic health-related conditions (often more than one), it is likely that nurses (e.g., hospital, home health nurses, and/or nurses specializing in urology) will continue to be the health care professionals responsible for most care in individuals with long-term IUCs. In the United Kingdom, 10.8% of community nurses’ caseloads are patients with urinary catheters, mostly men aged over 70-years (Prieto et al., 2020). For more than a decade, hospital-, state-, and national-level initiatives in the United States have aimed to standardize IUC use, especially the 2009 Centers for Disease Control and Prevention (CDC) guidelines (Gould et al., 2009) and the 2013 Choosing Wisely initiative (ABIM Foundation, n.d.). In many cases, urology nurses initiate initial insertion and management of an IUC, but in cases of long-term IUCs, general nurses, specifically home health nurses, remain the primary clinician for their care.   </w:t>
      </w:r>
    </w:p>
    <w:tbl>
      <w:tblPr>
        <w:tblStyle w:val="TableGrid"/>
        <w:tblW w:w="4755" w:type="dxa"/>
        <w:tblInd w:w="0" w:type="dxa"/>
        <w:tblCellMar>
          <w:top w:w="0" w:type="dxa"/>
          <w:left w:w="0" w:type="dxa"/>
          <w:bottom w:w="0" w:type="dxa"/>
          <w:right w:w="0" w:type="dxa"/>
        </w:tblCellMar>
        <w:tblLook w:val="04A0" w:firstRow="1" w:lastRow="0" w:firstColumn="1" w:lastColumn="0" w:noHBand="0" w:noVBand="1"/>
      </w:tblPr>
      <w:tblGrid>
        <w:gridCol w:w="4755"/>
      </w:tblGrid>
      <w:tr w:rsidR="006F0DDB" w14:paraId="25D9E6EA" w14:textId="77777777">
        <w:trPr>
          <w:trHeight w:val="2870"/>
        </w:trPr>
        <w:tc>
          <w:tcPr>
            <w:tcW w:w="4755" w:type="dxa"/>
            <w:tcBorders>
              <w:top w:val="nil"/>
              <w:left w:val="nil"/>
              <w:bottom w:val="nil"/>
              <w:right w:val="nil"/>
            </w:tcBorders>
            <w:vAlign w:val="bottom"/>
          </w:tcPr>
          <w:p w14:paraId="75A1D7E7" w14:textId="77777777" w:rsidR="006F0DDB" w:rsidRDefault="00000000">
            <w:pPr>
              <w:spacing w:after="128"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57FFDBA6" wp14:editId="0D9A4E3E">
                      <wp:extent cx="2990647" cy="12700"/>
                      <wp:effectExtent l="0" t="0" r="0" b="0"/>
                      <wp:docPr id="30076" name="Group 30076"/>
                      <wp:cNvGraphicFramePr/>
                      <a:graphic xmlns:a="http://schemas.openxmlformats.org/drawingml/2006/main">
                        <a:graphicData uri="http://schemas.microsoft.com/office/word/2010/wordprocessingGroup">
                          <wpg:wgp>
                            <wpg:cNvGrpSpPr/>
                            <wpg:grpSpPr>
                              <a:xfrm>
                                <a:off x="0" y="0"/>
                                <a:ext cx="2990647" cy="12700"/>
                                <a:chOff x="0" y="0"/>
                                <a:chExt cx="2990647" cy="12700"/>
                              </a:xfrm>
                            </wpg:grpSpPr>
                            <wps:wsp>
                              <wps:cNvPr id="205" name="Shape 205"/>
                              <wps:cNvSpPr/>
                              <wps:spPr>
                                <a:xfrm>
                                  <a:off x="0" y="0"/>
                                  <a:ext cx="2990647" cy="0"/>
                                </a:xfrm>
                                <a:custGeom>
                                  <a:avLst/>
                                  <a:gdLst/>
                                  <a:ahLst/>
                                  <a:cxnLst/>
                                  <a:rect l="0" t="0" r="0" b="0"/>
                                  <a:pathLst>
                                    <a:path w="2990647">
                                      <a:moveTo>
                                        <a:pt x="0" y="0"/>
                                      </a:moveTo>
                                      <a:lnTo>
                                        <a:pt x="2990647" y="0"/>
                                      </a:lnTo>
                                    </a:path>
                                  </a:pathLst>
                                </a:custGeom>
                                <a:ln w="12700" cap="flat">
                                  <a:miter lim="127000"/>
                                </a:ln>
                              </wps:spPr>
                              <wps:style>
                                <a:lnRef idx="1">
                                  <a:srgbClr val="563C8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076" style="width:235.484pt;height:1pt;mso-position-horizontal-relative:char;mso-position-vertical-relative:line" coordsize="29906,127">
                      <v:shape id="Shape 205" style="position:absolute;width:29906;height:0;left:0;top:0;" coordsize="2990647,0" path="m0,0l2990647,0">
                        <v:stroke weight="1pt" endcap="flat" joinstyle="miter" miterlimit="10" on="true" color="#563c80"/>
                        <v:fill on="false" color="#000000" opacity="0"/>
                      </v:shape>
                    </v:group>
                  </w:pict>
                </mc:Fallback>
              </mc:AlternateContent>
            </w:r>
          </w:p>
          <w:p w14:paraId="5CE4ABA2" w14:textId="77777777" w:rsidR="006F0DDB" w:rsidRDefault="00000000">
            <w:pPr>
              <w:spacing w:after="101" w:line="259" w:lineRule="auto"/>
              <w:ind w:left="0" w:right="0" w:firstLine="0"/>
              <w:jc w:val="left"/>
            </w:pPr>
            <w:r>
              <w:rPr>
                <w:sz w:val="16"/>
              </w:rPr>
              <w:t xml:space="preserve">Note: Biographical statements appear on next page. </w:t>
            </w:r>
          </w:p>
          <w:p w14:paraId="4B994349" w14:textId="77777777" w:rsidR="006F0DDB" w:rsidRDefault="00000000">
            <w:pPr>
              <w:spacing w:after="121" w:line="233" w:lineRule="auto"/>
              <w:ind w:left="0" w:right="45" w:firstLine="0"/>
            </w:pPr>
            <w:r>
              <w:rPr>
                <w:sz w:val="16"/>
              </w:rPr>
              <w:t xml:space="preserve">Acknowledgments: The authors wish to thank all the community nurses from the National Health Service (NHS) Lanarkshire; Danielle Flynn, RN, MSN; Maria Buccafuri, PT, MSPT, CLT-LANA; and the clinical nurses from Penn Medicine Home Health who helped recruit to this study; </w:t>
            </w:r>
            <w:proofErr w:type="gramStart"/>
            <w:r>
              <w:rPr>
                <w:sz w:val="16"/>
              </w:rPr>
              <w:t>all of</w:t>
            </w:r>
            <w:proofErr w:type="gramEnd"/>
            <w:r>
              <w:rPr>
                <w:sz w:val="16"/>
              </w:rPr>
              <w:t xml:space="preserve"> the patients who participated; and George Lin and Hanna Stambakio, research coordinators at the University of Pennsylvania.  </w:t>
            </w:r>
          </w:p>
          <w:p w14:paraId="51B734C4" w14:textId="77777777" w:rsidR="006F0DDB" w:rsidRDefault="00000000">
            <w:pPr>
              <w:spacing w:after="0" w:line="259" w:lineRule="auto"/>
              <w:ind w:left="0" w:right="0" w:firstLine="0"/>
            </w:pPr>
            <w:r>
              <w:rPr>
                <w:sz w:val="16"/>
              </w:rPr>
              <w:t xml:space="preserve">Authors’ Note: This study was supported by the Society of Urologic </w:t>
            </w:r>
          </w:p>
          <w:p w14:paraId="7C701698" w14:textId="77777777" w:rsidR="006F0DDB" w:rsidRDefault="00000000">
            <w:pPr>
              <w:spacing w:after="0" w:line="259" w:lineRule="auto"/>
              <w:ind w:left="0" w:right="0" w:firstLine="0"/>
            </w:pPr>
            <w:r>
              <w:rPr>
                <w:sz w:val="16"/>
              </w:rPr>
              <w:t xml:space="preserve">Nurses and Associates (SUNA), The Allergan Foundation, and </w:t>
            </w:r>
          </w:p>
          <w:p w14:paraId="731FCBCA" w14:textId="77777777" w:rsidR="006F0DDB" w:rsidRDefault="00000000">
            <w:pPr>
              <w:spacing w:after="0" w:line="259" w:lineRule="auto"/>
              <w:ind w:left="0" w:right="45" w:firstLine="0"/>
            </w:pPr>
            <w:r>
              <w:rPr>
                <w:sz w:val="16"/>
              </w:rPr>
              <w:t>Hollister, Incorporated. Findings of the study do not necessarily reflect the opinions of SUNA. The views expressed herein are those of the authors and no official endorsement by SUNA is intended or should be inferred.</w:t>
            </w:r>
          </w:p>
        </w:tc>
      </w:tr>
    </w:tbl>
    <w:p w14:paraId="337C7374" w14:textId="77777777" w:rsidR="006F0DDB" w:rsidRDefault="00000000">
      <w:pPr>
        <w:spacing w:after="0" w:line="259" w:lineRule="auto"/>
        <w:ind w:left="10" w:right="56" w:hanging="10"/>
        <w:jc w:val="center"/>
      </w:pPr>
      <w:r>
        <w:rPr>
          <w:rFonts w:ascii="Arial" w:eastAsia="Arial" w:hAnsi="Arial" w:cs="Arial"/>
        </w:rPr>
        <w:t>Abbreviations</w:t>
      </w:r>
    </w:p>
    <w:tbl>
      <w:tblPr>
        <w:tblStyle w:val="TableGrid"/>
        <w:tblW w:w="4705" w:type="dxa"/>
        <w:tblInd w:w="3" w:type="dxa"/>
        <w:tblCellMar>
          <w:top w:w="74" w:type="dxa"/>
          <w:left w:w="85" w:type="dxa"/>
          <w:bottom w:w="0" w:type="dxa"/>
          <w:right w:w="28" w:type="dxa"/>
        </w:tblCellMar>
        <w:tblLook w:val="04A0" w:firstRow="1" w:lastRow="0" w:firstColumn="1" w:lastColumn="0" w:noHBand="0" w:noVBand="1"/>
      </w:tblPr>
      <w:tblGrid>
        <w:gridCol w:w="1190"/>
        <w:gridCol w:w="3515"/>
      </w:tblGrid>
      <w:tr w:rsidR="006F0DDB" w14:paraId="6F69913D" w14:textId="77777777">
        <w:trPr>
          <w:trHeight w:val="296"/>
        </w:trPr>
        <w:tc>
          <w:tcPr>
            <w:tcW w:w="1190" w:type="dxa"/>
            <w:tcBorders>
              <w:top w:val="single" w:sz="8" w:space="0" w:color="563C80"/>
              <w:left w:val="single" w:sz="8" w:space="0" w:color="563C80"/>
              <w:bottom w:val="single" w:sz="4" w:space="0" w:color="563C80"/>
              <w:right w:val="single" w:sz="4" w:space="0" w:color="563C80"/>
            </w:tcBorders>
            <w:shd w:val="clear" w:color="auto" w:fill="E0D5E7"/>
          </w:tcPr>
          <w:p w14:paraId="4865F7D1" w14:textId="77777777" w:rsidR="006F0DDB" w:rsidRDefault="00000000">
            <w:pPr>
              <w:spacing w:after="0" w:line="259" w:lineRule="auto"/>
              <w:ind w:left="3" w:right="0" w:firstLine="0"/>
              <w:jc w:val="left"/>
            </w:pPr>
            <w:r>
              <w:rPr>
                <w:rFonts w:ascii="Arial" w:eastAsia="Arial" w:hAnsi="Arial" w:cs="Arial"/>
                <w:sz w:val="18"/>
              </w:rPr>
              <w:t>CAUTI</w:t>
            </w:r>
          </w:p>
        </w:tc>
        <w:tc>
          <w:tcPr>
            <w:tcW w:w="3515" w:type="dxa"/>
            <w:tcBorders>
              <w:top w:val="single" w:sz="8" w:space="0" w:color="563C80"/>
              <w:left w:val="single" w:sz="4" w:space="0" w:color="563C80"/>
              <w:bottom w:val="single" w:sz="4" w:space="0" w:color="563C80"/>
              <w:right w:val="single" w:sz="8" w:space="0" w:color="563C80"/>
            </w:tcBorders>
            <w:shd w:val="clear" w:color="auto" w:fill="E0D5E7"/>
          </w:tcPr>
          <w:p w14:paraId="0AE0DC21" w14:textId="77777777" w:rsidR="006F0DDB" w:rsidRDefault="00000000">
            <w:pPr>
              <w:spacing w:after="0" w:line="259" w:lineRule="auto"/>
              <w:ind w:left="0" w:right="0" w:firstLine="0"/>
              <w:jc w:val="left"/>
            </w:pPr>
            <w:r>
              <w:rPr>
                <w:rFonts w:ascii="Arial" w:eastAsia="Arial" w:hAnsi="Arial" w:cs="Arial"/>
                <w:sz w:val="18"/>
              </w:rPr>
              <w:t>Catheter-associated urinary tract infection</w:t>
            </w:r>
          </w:p>
        </w:tc>
      </w:tr>
      <w:tr w:rsidR="006F0DDB" w14:paraId="48E68BBB" w14:textId="77777777">
        <w:trPr>
          <w:trHeight w:val="720"/>
        </w:trPr>
        <w:tc>
          <w:tcPr>
            <w:tcW w:w="1190" w:type="dxa"/>
            <w:tcBorders>
              <w:top w:val="single" w:sz="4" w:space="0" w:color="563C80"/>
              <w:left w:val="single" w:sz="8" w:space="0" w:color="563C80"/>
              <w:bottom w:val="single" w:sz="4" w:space="0" w:color="563C80"/>
              <w:right w:val="single" w:sz="4" w:space="0" w:color="563C80"/>
            </w:tcBorders>
          </w:tcPr>
          <w:p w14:paraId="3FF5B44A" w14:textId="77777777" w:rsidR="006F0DDB" w:rsidRDefault="00000000">
            <w:pPr>
              <w:spacing w:after="0" w:line="259" w:lineRule="auto"/>
              <w:ind w:left="3" w:right="0" w:firstLine="0"/>
            </w:pPr>
            <w:r>
              <w:rPr>
                <w:rFonts w:ascii="Arial" w:eastAsia="Arial" w:hAnsi="Arial" w:cs="Arial"/>
                <w:sz w:val="18"/>
              </w:rPr>
              <w:t xml:space="preserve">ICIQ-LTCqol </w:t>
            </w:r>
          </w:p>
          <w:p w14:paraId="501260B6" w14:textId="77777777" w:rsidR="006F0DDB" w:rsidRDefault="00000000">
            <w:pPr>
              <w:spacing w:after="0" w:line="259" w:lineRule="auto"/>
              <w:ind w:left="3" w:right="0" w:firstLine="0"/>
              <w:jc w:val="left"/>
            </w:pPr>
            <w:r>
              <w:rPr>
                <w:rFonts w:ascii="Arial" w:eastAsia="Arial" w:hAnsi="Arial" w:cs="Arial"/>
                <w:sz w:val="18"/>
              </w:rPr>
              <w:t xml:space="preserve"> </w:t>
            </w:r>
          </w:p>
        </w:tc>
        <w:tc>
          <w:tcPr>
            <w:tcW w:w="3515" w:type="dxa"/>
            <w:tcBorders>
              <w:top w:val="single" w:sz="4" w:space="0" w:color="563C80"/>
              <w:left w:val="single" w:sz="4" w:space="0" w:color="563C80"/>
              <w:bottom w:val="single" w:sz="4" w:space="0" w:color="563C80"/>
              <w:right w:val="single" w:sz="8" w:space="0" w:color="563C80"/>
            </w:tcBorders>
          </w:tcPr>
          <w:p w14:paraId="6C14FA2F" w14:textId="77777777" w:rsidR="006F0DDB" w:rsidRDefault="00000000">
            <w:pPr>
              <w:spacing w:after="0" w:line="259" w:lineRule="auto"/>
              <w:ind w:left="0" w:right="0" w:firstLine="0"/>
              <w:jc w:val="left"/>
            </w:pPr>
            <w:r>
              <w:rPr>
                <w:rFonts w:ascii="Arial" w:eastAsia="Arial" w:hAnsi="Arial" w:cs="Arial"/>
                <w:sz w:val="18"/>
              </w:rPr>
              <w:t xml:space="preserve">International Consultation on Incontinence </w:t>
            </w:r>
          </w:p>
          <w:p w14:paraId="7BCED5A1" w14:textId="77777777" w:rsidR="006F0DDB" w:rsidRDefault="00000000">
            <w:pPr>
              <w:spacing w:after="0" w:line="259" w:lineRule="auto"/>
              <w:ind w:left="0" w:right="0" w:firstLine="0"/>
              <w:jc w:val="left"/>
            </w:pPr>
            <w:r>
              <w:rPr>
                <w:rFonts w:ascii="Arial" w:eastAsia="Arial" w:hAnsi="Arial" w:cs="Arial"/>
                <w:sz w:val="18"/>
              </w:rPr>
              <w:t>Questionnaire – Long-Term Catheter Quality of Life</w:t>
            </w:r>
          </w:p>
        </w:tc>
      </w:tr>
      <w:tr w:rsidR="006F0DDB" w14:paraId="311B711F" w14:textId="77777777">
        <w:trPr>
          <w:trHeight w:val="298"/>
        </w:trPr>
        <w:tc>
          <w:tcPr>
            <w:tcW w:w="1190" w:type="dxa"/>
            <w:tcBorders>
              <w:top w:val="single" w:sz="4" w:space="0" w:color="563C80"/>
              <w:left w:val="single" w:sz="8" w:space="0" w:color="563C80"/>
              <w:bottom w:val="single" w:sz="4" w:space="0" w:color="563C80"/>
              <w:right w:val="single" w:sz="4" w:space="0" w:color="563C80"/>
            </w:tcBorders>
            <w:shd w:val="clear" w:color="auto" w:fill="E0D5E7"/>
          </w:tcPr>
          <w:p w14:paraId="4F8B63B8" w14:textId="77777777" w:rsidR="006F0DDB" w:rsidRDefault="00000000">
            <w:pPr>
              <w:spacing w:after="0" w:line="259" w:lineRule="auto"/>
              <w:ind w:left="3" w:right="0" w:firstLine="0"/>
              <w:jc w:val="left"/>
            </w:pPr>
            <w:r>
              <w:rPr>
                <w:rFonts w:ascii="Arial" w:eastAsia="Arial" w:hAnsi="Arial" w:cs="Arial"/>
                <w:sz w:val="18"/>
              </w:rPr>
              <w:lastRenderedPageBreak/>
              <w:t>IUC</w:t>
            </w:r>
          </w:p>
        </w:tc>
        <w:tc>
          <w:tcPr>
            <w:tcW w:w="3515" w:type="dxa"/>
            <w:tcBorders>
              <w:top w:val="single" w:sz="4" w:space="0" w:color="563C80"/>
              <w:left w:val="single" w:sz="4" w:space="0" w:color="563C80"/>
              <w:bottom w:val="single" w:sz="4" w:space="0" w:color="563C80"/>
              <w:right w:val="single" w:sz="8" w:space="0" w:color="563C80"/>
            </w:tcBorders>
            <w:shd w:val="clear" w:color="auto" w:fill="E0D5E7"/>
          </w:tcPr>
          <w:p w14:paraId="317D5B11" w14:textId="77777777" w:rsidR="006F0DDB" w:rsidRDefault="00000000">
            <w:pPr>
              <w:spacing w:after="0" w:line="259" w:lineRule="auto"/>
              <w:ind w:left="0" w:right="0" w:firstLine="0"/>
              <w:jc w:val="left"/>
            </w:pPr>
            <w:r>
              <w:rPr>
                <w:rFonts w:ascii="Arial" w:eastAsia="Arial" w:hAnsi="Arial" w:cs="Arial"/>
                <w:sz w:val="18"/>
              </w:rPr>
              <w:t>Indwelling urinary catheters</w:t>
            </w:r>
          </w:p>
        </w:tc>
      </w:tr>
      <w:tr w:rsidR="006F0DDB" w14:paraId="35ED5A23" w14:textId="77777777">
        <w:trPr>
          <w:trHeight w:val="303"/>
        </w:trPr>
        <w:tc>
          <w:tcPr>
            <w:tcW w:w="1190" w:type="dxa"/>
            <w:tcBorders>
              <w:top w:val="single" w:sz="4" w:space="0" w:color="563C80"/>
              <w:left w:val="single" w:sz="8" w:space="0" w:color="563C80"/>
              <w:bottom w:val="single" w:sz="4" w:space="0" w:color="563C80"/>
              <w:right w:val="single" w:sz="4" w:space="0" w:color="563C80"/>
            </w:tcBorders>
          </w:tcPr>
          <w:p w14:paraId="04CF72DB" w14:textId="77777777" w:rsidR="006F0DDB" w:rsidRDefault="00000000">
            <w:pPr>
              <w:spacing w:after="0" w:line="259" w:lineRule="auto"/>
              <w:ind w:left="3" w:right="0" w:firstLine="0"/>
              <w:jc w:val="left"/>
            </w:pPr>
            <w:r>
              <w:rPr>
                <w:rFonts w:ascii="Arial" w:eastAsia="Arial" w:hAnsi="Arial" w:cs="Arial"/>
                <w:sz w:val="18"/>
              </w:rPr>
              <w:t>NHS</w:t>
            </w:r>
          </w:p>
        </w:tc>
        <w:tc>
          <w:tcPr>
            <w:tcW w:w="3515" w:type="dxa"/>
            <w:tcBorders>
              <w:top w:val="single" w:sz="4" w:space="0" w:color="563C80"/>
              <w:left w:val="single" w:sz="4" w:space="0" w:color="563C80"/>
              <w:bottom w:val="single" w:sz="4" w:space="0" w:color="563C80"/>
              <w:right w:val="single" w:sz="8" w:space="0" w:color="563C80"/>
            </w:tcBorders>
          </w:tcPr>
          <w:p w14:paraId="2575DEB4" w14:textId="77777777" w:rsidR="006F0DDB" w:rsidRDefault="00000000">
            <w:pPr>
              <w:spacing w:after="0" w:line="259" w:lineRule="auto"/>
              <w:ind w:left="0" w:right="0" w:firstLine="0"/>
              <w:jc w:val="left"/>
            </w:pPr>
            <w:r>
              <w:rPr>
                <w:rFonts w:ascii="Arial" w:eastAsia="Arial" w:hAnsi="Arial" w:cs="Arial"/>
                <w:sz w:val="18"/>
              </w:rPr>
              <w:t>National Health Service</w:t>
            </w:r>
          </w:p>
        </w:tc>
      </w:tr>
      <w:tr w:rsidR="006F0DDB" w14:paraId="4171ADC1" w14:textId="77777777">
        <w:trPr>
          <w:trHeight w:val="298"/>
        </w:trPr>
        <w:tc>
          <w:tcPr>
            <w:tcW w:w="1190" w:type="dxa"/>
            <w:tcBorders>
              <w:top w:val="single" w:sz="4" w:space="0" w:color="563C80"/>
              <w:left w:val="single" w:sz="8" w:space="0" w:color="563C80"/>
              <w:bottom w:val="single" w:sz="4" w:space="0" w:color="563C80"/>
              <w:right w:val="single" w:sz="4" w:space="0" w:color="563C80"/>
            </w:tcBorders>
            <w:shd w:val="clear" w:color="auto" w:fill="E0D5E7"/>
          </w:tcPr>
          <w:p w14:paraId="6DA7B3C6" w14:textId="77777777" w:rsidR="006F0DDB" w:rsidRDefault="00000000">
            <w:pPr>
              <w:spacing w:after="0" w:line="259" w:lineRule="auto"/>
              <w:ind w:left="3" w:right="0" w:firstLine="0"/>
              <w:jc w:val="left"/>
            </w:pPr>
            <w:r>
              <w:rPr>
                <w:rFonts w:ascii="Arial" w:eastAsia="Arial" w:hAnsi="Arial" w:cs="Arial"/>
                <w:sz w:val="18"/>
              </w:rPr>
              <w:t>QoL</w:t>
            </w:r>
          </w:p>
        </w:tc>
        <w:tc>
          <w:tcPr>
            <w:tcW w:w="3515" w:type="dxa"/>
            <w:tcBorders>
              <w:top w:val="single" w:sz="4" w:space="0" w:color="563C80"/>
              <w:left w:val="single" w:sz="4" w:space="0" w:color="563C80"/>
              <w:bottom w:val="single" w:sz="4" w:space="0" w:color="563C80"/>
              <w:right w:val="single" w:sz="8" w:space="0" w:color="563C80"/>
            </w:tcBorders>
            <w:shd w:val="clear" w:color="auto" w:fill="E0D5E7"/>
          </w:tcPr>
          <w:p w14:paraId="55A8A292" w14:textId="77777777" w:rsidR="006F0DDB" w:rsidRDefault="00000000">
            <w:pPr>
              <w:spacing w:after="0" w:line="259" w:lineRule="auto"/>
              <w:ind w:left="0" w:right="0" w:firstLine="0"/>
              <w:jc w:val="left"/>
            </w:pPr>
            <w:r>
              <w:rPr>
                <w:rFonts w:ascii="Arial" w:eastAsia="Arial" w:hAnsi="Arial" w:cs="Arial"/>
                <w:sz w:val="18"/>
              </w:rPr>
              <w:t>Quality of life</w:t>
            </w:r>
          </w:p>
        </w:tc>
      </w:tr>
      <w:tr w:rsidR="006F0DDB" w14:paraId="621FEF50" w14:textId="77777777">
        <w:trPr>
          <w:trHeight w:val="303"/>
        </w:trPr>
        <w:tc>
          <w:tcPr>
            <w:tcW w:w="1190" w:type="dxa"/>
            <w:tcBorders>
              <w:top w:val="single" w:sz="4" w:space="0" w:color="563C80"/>
              <w:left w:val="single" w:sz="8" w:space="0" w:color="563C80"/>
              <w:bottom w:val="single" w:sz="4" w:space="0" w:color="563C80"/>
              <w:right w:val="single" w:sz="4" w:space="0" w:color="563C80"/>
            </w:tcBorders>
          </w:tcPr>
          <w:p w14:paraId="4123A279" w14:textId="77777777" w:rsidR="006F0DDB" w:rsidRDefault="00000000">
            <w:pPr>
              <w:spacing w:after="0" w:line="259" w:lineRule="auto"/>
              <w:ind w:left="3" w:right="0" w:firstLine="0"/>
              <w:jc w:val="left"/>
            </w:pPr>
            <w:r>
              <w:rPr>
                <w:rFonts w:ascii="Arial" w:eastAsia="Arial" w:hAnsi="Arial" w:cs="Arial"/>
                <w:sz w:val="18"/>
              </w:rPr>
              <w:t>UI</w:t>
            </w:r>
          </w:p>
        </w:tc>
        <w:tc>
          <w:tcPr>
            <w:tcW w:w="3515" w:type="dxa"/>
            <w:tcBorders>
              <w:top w:val="single" w:sz="4" w:space="0" w:color="563C80"/>
              <w:left w:val="single" w:sz="4" w:space="0" w:color="563C80"/>
              <w:bottom w:val="single" w:sz="4" w:space="0" w:color="563C80"/>
              <w:right w:val="single" w:sz="8" w:space="0" w:color="563C80"/>
            </w:tcBorders>
          </w:tcPr>
          <w:p w14:paraId="0F1CE23D" w14:textId="77777777" w:rsidR="006F0DDB" w:rsidRDefault="00000000">
            <w:pPr>
              <w:spacing w:after="0" w:line="259" w:lineRule="auto"/>
              <w:ind w:left="0" w:right="0" w:firstLine="0"/>
              <w:jc w:val="left"/>
            </w:pPr>
            <w:r>
              <w:rPr>
                <w:rFonts w:ascii="Arial" w:eastAsia="Arial" w:hAnsi="Arial" w:cs="Arial"/>
                <w:sz w:val="18"/>
              </w:rPr>
              <w:t>Urinary incontinence</w:t>
            </w:r>
          </w:p>
        </w:tc>
      </w:tr>
      <w:tr w:rsidR="006F0DDB" w14:paraId="1CAF95A6" w14:textId="77777777">
        <w:trPr>
          <w:trHeight w:val="296"/>
        </w:trPr>
        <w:tc>
          <w:tcPr>
            <w:tcW w:w="1190" w:type="dxa"/>
            <w:tcBorders>
              <w:top w:val="single" w:sz="4" w:space="0" w:color="563C80"/>
              <w:left w:val="single" w:sz="8" w:space="0" w:color="563C80"/>
              <w:bottom w:val="single" w:sz="8" w:space="0" w:color="563C80"/>
              <w:right w:val="single" w:sz="4" w:space="0" w:color="563C80"/>
            </w:tcBorders>
            <w:shd w:val="clear" w:color="auto" w:fill="E0D5E7"/>
          </w:tcPr>
          <w:p w14:paraId="7E2CAFE4" w14:textId="77777777" w:rsidR="006F0DDB" w:rsidRDefault="00000000">
            <w:pPr>
              <w:spacing w:after="0" w:line="259" w:lineRule="auto"/>
              <w:ind w:left="3" w:right="0" w:firstLine="0"/>
              <w:jc w:val="left"/>
            </w:pPr>
            <w:r>
              <w:rPr>
                <w:rFonts w:ascii="Arial" w:eastAsia="Arial" w:hAnsi="Arial" w:cs="Arial"/>
                <w:sz w:val="18"/>
              </w:rPr>
              <w:t>UTI</w:t>
            </w:r>
          </w:p>
        </w:tc>
        <w:tc>
          <w:tcPr>
            <w:tcW w:w="3515" w:type="dxa"/>
            <w:tcBorders>
              <w:top w:val="single" w:sz="4" w:space="0" w:color="563C80"/>
              <w:left w:val="single" w:sz="4" w:space="0" w:color="563C80"/>
              <w:bottom w:val="single" w:sz="8" w:space="0" w:color="563C80"/>
              <w:right w:val="single" w:sz="8" w:space="0" w:color="563C80"/>
            </w:tcBorders>
            <w:shd w:val="clear" w:color="auto" w:fill="E0D5E7"/>
          </w:tcPr>
          <w:p w14:paraId="1364CA3F" w14:textId="77777777" w:rsidR="006F0DDB" w:rsidRDefault="00000000">
            <w:pPr>
              <w:spacing w:after="0" w:line="259" w:lineRule="auto"/>
              <w:ind w:left="0" w:right="0" w:firstLine="0"/>
              <w:jc w:val="left"/>
            </w:pPr>
            <w:r>
              <w:rPr>
                <w:rFonts w:ascii="Arial" w:eastAsia="Arial" w:hAnsi="Arial" w:cs="Arial"/>
                <w:sz w:val="18"/>
              </w:rPr>
              <w:t>Urinary tract infection</w:t>
            </w:r>
          </w:p>
        </w:tc>
      </w:tr>
    </w:tbl>
    <w:p w14:paraId="170CD514" w14:textId="77777777" w:rsidR="006F0DDB" w:rsidRDefault="00000000">
      <w:pPr>
        <w:pStyle w:val="Heading2"/>
        <w:ind w:left="15"/>
      </w:pPr>
      <w:r>
        <w:t xml:space="preserve">Background of the Problem </w:t>
      </w:r>
    </w:p>
    <w:p w14:paraId="62571696" w14:textId="77777777" w:rsidR="006F0DDB" w:rsidRDefault="00000000">
      <w:pPr>
        <w:spacing w:after="73"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73B85951" wp14:editId="02476C7E">
                <wp:extent cx="2990850" cy="25400"/>
                <wp:effectExtent l="0" t="0" r="0" b="0"/>
                <wp:docPr id="32440" name="Group 32440"/>
                <wp:cNvGraphicFramePr/>
                <a:graphic xmlns:a="http://schemas.openxmlformats.org/drawingml/2006/main">
                  <a:graphicData uri="http://schemas.microsoft.com/office/word/2010/wordprocessingGroup">
                    <wpg:wgp>
                      <wpg:cNvGrpSpPr/>
                      <wpg:grpSpPr>
                        <a:xfrm>
                          <a:off x="0" y="0"/>
                          <a:ext cx="2990850" cy="25400"/>
                          <a:chOff x="0" y="0"/>
                          <a:chExt cx="2990850" cy="25400"/>
                        </a:xfrm>
                      </wpg:grpSpPr>
                      <wps:wsp>
                        <wps:cNvPr id="322" name="Shape 322"/>
                        <wps:cNvSpPr/>
                        <wps:spPr>
                          <a:xfrm>
                            <a:off x="0" y="0"/>
                            <a:ext cx="2990850" cy="0"/>
                          </a:xfrm>
                          <a:custGeom>
                            <a:avLst/>
                            <a:gdLst/>
                            <a:ahLst/>
                            <a:cxnLst/>
                            <a:rect l="0" t="0" r="0" b="0"/>
                            <a:pathLst>
                              <a:path w="2990850">
                                <a:moveTo>
                                  <a:pt x="0" y="0"/>
                                </a:moveTo>
                                <a:lnTo>
                                  <a:pt x="2990850" y="0"/>
                                </a:lnTo>
                              </a:path>
                            </a:pathLst>
                          </a:custGeom>
                          <a:ln w="25400" cap="flat">
                            <a:miter lim="127000"/>
                          </a:ln>
                        </wps:spPr>
                        <wps:style>
                          <a:lnRef idx="1">
                            <a:srgbClr val="9F8CB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2440" style="width:235.5pt;height:2pt;mso-position-horizontal-relative:char;mso-position-vertical-relative:line" coordsize="29908,254">
                <v:shape id="Shape 322" style="position:absolute;width:29908;height:0;left:0;top:0;" coordsize="2990850,0" path="m0,0l2990850,0">
                  <v:stroke weight="2pt" endcap="flat" joinstyle="miter" miterlimit="10" on="true" color="#9f8cb9"/>
                  <v:fill on="false" color="#000000" opacity="0"/>
                </v:shape>
              </v:group>
            </w:pict>
          </mc:Fallback>
        </mc:AlternateContent>
      </w:r>
    </w:p>
    <w:p w14:paraId="420A6CC8" w14:textId="77777777" w:rsidR="006F0DDB" w:rsidRDefault="00000000">
      <w:pPr>
        <w:spacing w:after="392"/>
        <w:ind w:left="5" w:right="5"/>
      </w:pPr>
      <w:r>
        <w:t xml:space="preserve">Indwelling urinary catheters are used extensively throughout health care for a range of acute and chronic bladder conditions. Although the most common route of an IUC is urethral (referred to as transurethral), there </w:t>
      </w:r>
      <w:proofErr w:type="gramStart"/>
      <w:r>
        <w:t>is</w:t>
      </w:r>
      <w:proofErr w:type="gramEnd"/>
      <w:r>
        <w:t xml:space="preserve"> </w:t>
      </w:r>
    </w:p>
    <w:p w14:paraId="24FC0AE7" w14:textId="77777777" w:rsidR="006F0DDB" w:rsidRDefault="00000000">
      <w:pPr>
        <w:spacing w:before="128" w:after="120" w:line="234" w:lineRule="auto"/>
        <w:ind w:left="5" w:right="0" w:firstLine="0"/>
      </w:pPr>
      <w:r>
        <w:rPr>
          <w:sz w:val="16"/>
        </w:rPr>
        <w:t xml:space="preserve">Ashley Shepherd, PhD, BA (Hons), RGN, is a Professor of Nursing and Deputy Dean, Faculty of Health Sciences and Sport, University of Stirling, Scotland, United Kingdom. </w:t>
      </w:r>
    </w:p>
    <w:p w14:paraId="743AF603" w14:textId="77777777" w:rsidR="006F0DDB" w:rsidRDefault="00000000">
      <w:pPr>
        <w:spacing w:after="120" w:line="234" w:lineRule="auto"/>
        <w:ind w:left="5" w:right="0" w:firstLine="0"/>
      </w:pPr>
      <w:r>
        <w:rPr>
          <w:sz w:val="16"/>
        </w:rPr>
        <w:t xml:space="preserve">Diane K. Newman, DNP, ANP-BC, FAAN, is an Adjunct Professor of Urology in Surgery, Division of Urology, Perelman School of Medicine, University of Pennsylvania, Philadelphia, PA.  </w:t>
      </w:r>
    </w:p>
    <w:p w14:paraId="14FCD6D7" w14:textId="77777777" w:rsidR="006F0DDB" w:rsidRDefault="00000000">
      <w:pPr>
        <w:spacing w:after="120" w:line="234" w:lineRule="auto"/>
        <w:ind w:left="5" w:right="0" w:firstLine="0"/>
      </w:pPr>
      <w:r>
        <w:rPr>
          <w:sz w:val="16"/>
        </w:rPr>
        <w:t xml:space="preserve">Christine Bradway, PhD, CRNP, FAAN, AGSF, is a Professor Emerita of Gerontological Nursing, University of Pennsylvania School of Nursing, Philadelphia, PA.  </w:t>
      </w:r>
    </w:p>
    <w:p w14:paraId="42CAB26C" w14:textId="77777777" w:rsidR="006F0DDB" w:rsidRDefault="00000000">
      <w:pPr>
        <w:spacing w:line="234" w:lineRule="auto"/>
        <w:ind w:left="5" w:right="0" w:firstLine="0"/>
      </w:pPr>
      <w:r>
        <w:rPr>
          <w:sz w:val="16"/>
        </w:rPr>
        <w:t xml:space="preserve">Sandra Jost, PhD, RN, is Chief Nursing Officer, Penn Medicine at Home, University of Pennsylvania Health System, Philadelphia, PA. </w:t>
      </w:r>
    </w:p>
    <w:tbl>
      <w:tblPr>
        <w:tblStyle w:val="TableGrid"/>
        <w:tblpPr w:vertAnchor="text" w:horzAnchor="margin"/>
        <w:tblOverlap w:val="never"/>
        <w:tblW w:w="9780" w:type="dxa"/>
        <w:tblInd w:w="0" w:type="dxa"/>
        <w:tblCellMar>
          <w:top w:w="80" w:type="dxa"/>
          <w:left w:w="20" w:type="dxa"/>
          <w:bottom w:w="0" w:type="dxa"/>
          <w:right w:w="50" w:type="dxa"/>
        </w:tblCellMar>
        <w:tblLook w:val="04A0" w:firstRow="1" w:lastRow="0" w:firstColumn="1" w:lastColumn="0" w:noHBand="0" w:noVBand="1"/>
      </w:tblPr>
      <w:tblGrid>
        <w:gridCol w:w="5070"/>
        <w:gridCol w:w="4710"/>
      </w:tblGrid>
      <w:tr w:rsidR="006F0DDB" w14:paraId="3F9AEB83" w14:textId="77777777">
        <w:trPr>
          <w:trHeight w:val="367"/>
        </w:trPr>
        <w:tc>
          <w:tcPr>
            <w:tcW w:w="5070" w:type="dxa"/>
            <w:tcBorders>
              <w:top w:val="nil"/>
              <w:left w:val="nil"/>
              <w:bottom w:val="nil"/>
              <w:right w:val="nil"/>
            </w:tcBorders>
            <w:shd w:val="clear" w:color="auto" w:fill="9F8CB9"/>
          </w:tcPr>
          <w:p w14:paraId="752BBB8A" w14:textId="77777777" w:rsidR="006F0DDB" w:rsidRDefault="00000000">
            <w:pPr>
              <w:spacing w:after="0" w:line="259" w:lineRule="auto"/>
              <w:ind w:left="80" w:right="0" w:firstLine="0"/>
              <w:jc w:val="left"/>
            </w:pPr>
            <w:r>
              <w:rPr>
                <w:color w:val="FFFEFD"/>
                <w:sz w:val="24"/>
              </w:rPr>
              <w:t>Research Summary</w:t>
            </w:r>
          </w:p>
        </w:tc>
        <w:tc>
          <w:tcPr>
            <w:tcW w:w="4710" w:type="dxa"/>
            <w:tcBorders>
              <w:top w:val="nil"/>
              <w:left w:val="nil"/>
              <w:bottom w:val="nil"/>
              <w:right w:val="nil"/>
            </w:tcBorders>
            <w:shd w:val="clear" w:color="auto" w:fill="9F8CB9"/>
          </w:tcPr>
          <w:p w14:paraId="29C682F6" w14:textId="77777777" w:rsidR="006F0DDB" w:rsidRDefault="006F0DDB">
            <w:pPr>
              <w:spacing w:after="160" w:line="259" w:lineRule="auto"/>
              <w:ind w:left="0" w:right="0" w:firstLine="0"/>
              <w:jc w:val="left"/>
            </w:pPr>
          </w:p>
        </w:tc>
      </w:tr>
      <w:tr w:rsidR="006F0DDB" w14:paraId="3271C179" w14:textId="77777777">
        <w:trPr>
          <w:trHeight w:val="5076"/>
        </w:trPr>
        <w:tc>
          <w:tcPr>
            <w:tcW w:w="5070" w:type="dxa"/>
            <w:tcBorders>
              <w:top w:val="nil"/>
              <w:left w:val="nil"/>
              <w:bottom w:val="single" w:sz="4" w:space="0" w:color="563C80"/>
              <w:right w:val="nil"/>
            </w:tcBorders>
            <w:shd w:val="clear" w:color="auto" w:fill="FFFEFD"/>
          </w:tcPr>
          <w:p w14:paraId="3549D9C1" w14:textId="77777777" w:rsidR="006F0DDB" w:rsidRDefault="00000000">
            <w:pPr>
              <w:spacing w:after="15" w:line="259" w:lineRule="auto"/>
              <w:ind w:left="80" w:right="0" w:firstLine="0"/>
              <w:jc w:val="left"/>
            </w:pPr>
            <w:r>
              <w:rPr>
                <w:sz w:val="18"/>
              </w:rPr>
              <w:t xml:space="preserve">Introduction </w:t>
            </w:r>
          </w:p>
          <w:p w14:paraId="6D33A0CB" w14:textId="77777777" w:rsidR="006F0DDB" w:rsidRDefault="00000000">
            <w:pPr>
              <w:spacing w:after="180" w:line="230" w:lineRule="auto"/>
              <w:ind w:left="80" w:right="330" w:firstLine="360"/>
            </w:pPr>
            <w:r>
              <w:rPr>
                <w:sz w:val="18"/>
              </w:rPr>
              <w:t xml:space="preserve">Patients using indwelling urinary catheters often experience complications that have the potential to negatively impact quality of life. Limited evidence exists to inform and guide urinary catheter management, especially in those with long-term catheters; thus, patient care varies.  </w:t>
            </w:r>
          </w:p>
          <w:p w14:paraId="70AC8A39" w14:textId="77777777" w:rsidR="006F0DDB" w:rsidRDefault="00000000">
            <w:pPr>
              <w:spacing w:after="15" w:line="259" w:lineRule="auto"/>
              <w:ind w:left="80" w:right="0" w:firstLine="0"/>
              <w:jc w:val="left"/>
            </w:pPr>
            <w:r>
              <w:rPr>
                <w:sz w:val="18"/>
              </w:rPr>
              <w:t xml:space="preserve">Purpose </w:t>
            </w:r>
          </w:p>
          <w:p w14:paraId="263F9DED" w14:textId="77777777" w:rsidR="006F0DDB" w:rsidRDefault="00000000">
            <w:pPr>
              <w:spacing w:after="180" w:line="230" w:lineRule="auto"/>
              <w:ind w:left="80" w:right="329" w:firstLine="360"/>
            </w:pPr>
            <w:r>
              <w:rPr>
                <w:sz w:val="18"/>
              </w:rPr>
              <w:t xml:space="preserve">This study compared the characteristics and quality of life of patients living with a long-term indwelling urinary catheter in the United Kingdom and the United States where catheter care policies differ with respect to types and routes of catheterization and timing of catheter changes. Quality of life was determined by utilizing the International Consultation on Incontinence Long-Term Catheter Quality of Life Ques tionnaire. </w:t>
            </w:r>
          </w:p>
          <w:p w14:paraId="719A5241" w14:textId="77777777" w:rsidR="006F0DDB" w:rsidRDefault="00000000">
            <w:pPr>
              <w:spacing w:after="15" w:line="259" w:lineRule="auto"/>
              <w:ind w:left="80" w:right="0" w:firstLine="0"/>
              <w:jc w:val="left"/>
            </w:pPr>
            <w:r>
              <w:rPr>
                <w:sz w:val="18"/>
              </w:rPr>
              <w:t xml:space="preserve">Methods </w:t>
            </w:r>
          </w:p>
          <w:p w14:paraId="48527A8E" w14:textId="77777777" w:rsidR="006F0DDB" w:rsidRDefault="00000000">
            <w:pPr>
              <w:spacing w:after="0" w:line="259" w:lineRule="auto"/>
              <w:ind w:left="80" w:right="329" w:firstLine="360"/>
            </w:pPr>
            <w:r>
              <w:rPr>
                <w:sz w:val="18"/>
              </w:rPr>
              <w:t>A cross-sectional study of long-term urinary catheter users in the United Kingdom and the United States, male and female, able to speak and read English, age 18 years or older, using a urethral or suprapubic catheter for more than 1 year. Participants completed a questionnaire, and relevant catheterrelated data were extracted from their medical records.</w:t>
            </w:r>
          </w:p>
        </w:tc>
        <w:tc>
          <w:tcPr>
            <w:tcW w:w="4710" w:type="dxa"/>
            <w:tcBorders>
              <w:top w:val="nil"/>
              <w:left w:val="nil"/>
              <w:bottom w:val="single" w:sz="4" w:space="0" w:color="563C80"/>
              <w:right w:val="nil"/>
            </w:tcBorders>
            <w:shd w:val="clear" w:color="auto" w:fill="FFFEFD"/>
          </w:tcPr>
          <w:p w14:paraId="1F3465A4" w14:textId="77777777" w:rsidR="006F0DDB" w:rsidRDefault="00000000">
            <w:pPr>
              <w:spacing w:after="15" w:line="259" w:lineRule="auto"/>
              <w:ind w:left="0" w:right="0" w:firstLine="0"/>
              <w:jc w:val="left"/>
            </w:pPr>
            <w:r>
              <w:rPr>
                <w:sz w:val="18"/>
              </w:rPr>
              <w:t xml:space="preserve">Results </w:t>
            </w:r>
          </w:p>
          <w:p w14:paraId="382C0611" w14:textId="77777777" w:rsidR="006F0DDB" w:rsidRDefault="00000000">
            <w:pPr>
              <w:spacing w:after="180" w:line="230" w:lineRule="auto"/>
              <w:ind w:left="0" w:right="50" w:firstLine="360"/>
            </w:pPr>
            <w:r>
              <w:rPr>
                <w:sz w:val="18"/>
              </w:rPr>
              <w:t>Participants (</w:t>
            </w:r>
            <w:r>
              <w:rPr>
                <w:i/>
                <w:sz w:val="18"/>
              </w:rPr>
              <w:t>n</w:t>
            </w:r>
            <w:r>
              <w:rPr>
                <w:sz w:val="18"/>
              </w:rPr>
              <w:t xml:space="preserve"> = 190, 51% from United States) were recruited, largely from the home health setting. Most (</w:t>
            </w:r>
            <w:r>
              <w:rPr>
                <w:i/>
                <w:sz w:val="18"/>
              </w:rPr>
              <w:t>n</w:t>
            </w:r>
            <w:r>
              <w:rPr>
                <w:sz w:val="18"/>
              </w:rPr>
              <w:t xml:space="preserve"> = 136, 71.6%) were male, with a mean age of 72.8 years. The majority used an indwelling urethral catheter, but this varied by country and was more common in the United Kingdom. The number of urinary tract infections and catheter changes was significantly higher in the United States (</w:t>
            </w:r>
            <w:r>
              <w:rPr>
                <w:i/>
                <w:sz w:val="18"/>
              </w:rPr>
              <w:t>p</w:t>
            </w:r>
            <w:r>
              <w:rPr>
                <w:sz w:val="18"/>
              </w:rPr>
              <w:t xml:space="preserve"> &lt; 0.001). The catheter function score was significantly worse in participants from the United Kingdom, but there was no difference in life impact score between countries. </w:t>
            </w:r>
          </w:p>
          <w:p w14:paraId="0BF18A94" w14:textId="77777777" w:rsidR="006F0DDB" w:rsidRDefault="00000000">
            <w:pPr>
              <w:spacing w:after="15" w:line="259" w:lineRule="auto"/>
              <w:ind w:left="0" w:right="0" w:firstLine="0"/>
              <w:jc w:val="left"/>
            </w:pPr>
            <w:r>
              <w:rPr>
                <w:sz w:val="18"/>
              </w:rPr>
              <w:t xml:space="preserve">Conclusions </w:t>
            </w:r>
          </w:p>
          <w:p w14:paraId="4C5DFF6B" w14:textId="77777777" w:rsidR="006F0DDB" w:rsidRDefault="00000000">
            <w:pPr>
              <w:spacing w:after="180" w:line="230" w:lineRule="auto"/>
              <w:ind w:left="0" w:right="49" w:firstLine="360"/>
            </w:pPr>
            <w:r>
              <w:rPr>
                <w:sz w:val="18"/>
              </w:rPr>
              <w:t xml:space="preserve">Approaches to indwelling urinary catheter care differed in the two countries, as did catheter complications and some aspects of quality of life. Further analysis will explore how these factors interact. </w:t>
            </w:r>
          </w:p>
          <w:p w14:paraId="4D1C99CA" w14:textId="77777777" w:rsidR="006F0DDB" w:rsidRDefault="00000000">
            <w:pPr>
              <w:spacing w:after="15" w:line="259" w:lineRule="auto"/>
              <w:ind w:left="0" w:right="0" w:firstLine="0"/>
              <w:jc w:val="left"/>
            </w:pPr>
            <w:r>
              <w:rPr>
                <w:sz w:val="18"/>
              </w:rPr>
              <w:t xml:space="preserve">Level of Evidence: III-A </w:t>
            </w:r>
          </w:p>
          <w:p w14:paraId="5D44C621" w14:textId="77777777" w:rsidR="006F0DDB" w:rsidRDefault="00000000">
            <w:pPr>
              <w:spacing w:after="0" w:line="259" w:lineRule="auto"/>
              <w:ind w:left="0" w:right="0" w:firstLine="0"/>
            </w:pPr>
            <w:r>
              <w:rPr>
                <w:i/>
                <w:sz w:val="18"/>
              </w:rPr>
              <w:t xml:space="preserve">Source: </w:t>
            </w:r>
            <w:r>
              <w:rPr>
                <w:sz w:val="18"/>
              </w:rPr>
              <w:t>Johns Hopkins Hospital/Johns Hopkins University, 2016.</w:t>
            </w:r>
          </w:p>
        </w:tc>
      </w:tr>
    </w:tbl>
    <w:p w14:paraId="5117FE7F" w14:textId="77777777" w:rsidR="006F0DDB" w:rsidRDefault="00000000">
      <w:pPr>
        <w:spacing w:after="388"/>
        <w:ind w:left="5" w:right="5" w:firstLine="0"/>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0919DF31" wp14:editId="4093FDDF">
                <wp:simplePos x="0" y="0"/>
                <wp:positionH relativeFrom="margin">
                  <wp:posOffset>0</wp:posOffset>
                </wp:positionH>
                <wp:positionV relativeFrom="paragraph">
                  <wp:posOffset>3031047</wp:posOffset>
                </wp:positionV>
                <wp:extent cx="6210300" cy="12700"/>
                <wp:effectExtent l="0" t="0" r="0" b="0"/>
                <wp:wrapTopAndBottom/>
                <wp:docPr id="32442" name="Group 32442"/>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425" name="Shape 425"/>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563C8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2442" style="width:489pt;height:1pt;position:absolute;mso-position-horizontal-relative:margin;mso-position-horizontal:absolute;margin-left:0pt;mso-position-vertical-relative:text;margin-top:238.665pt;" coordsize="62103,127">
                <v:shape id="Shape 425" style="position:absolute;width:62103;height:0;left:0;top:0;" coordsize="6210300,0" path="m0,0l6210300,0">
                  <v:stroke weight="1pt" endcap="flat" joinstyle="miter" miterlimit="10" on="true" color="#563c80"/>
                  <v:fill on="false" color="#000000" opacity="0"/>
                </v:shape>
                <w10:wrap type="topAndBottom"/>
              </v:group>
            </w:pict>
          </mc:Fallback>
        </mc:AlternateContent>
      </w:r>
      <w:r>
        <w:t xml:space="preserve">an increased preference by patients for suprapubic catheters for long-term bladder management. Infor mation on suprapubic catheter care is lacking; however, prof es sional organizations are developing consensus guidelines for nurses (Continence Nurses Society Australia, 2021). </w:t>
      </w:r>
      <w:r>
        <w:t xml:space="preserve">Considerable variation exists in longterm IUC ma nagem ent guidelines implemented by nurses worldw ide, largely due to insufficient high-quality evidence on which to base policies in nursing practice. Indwelling urinary catheters are prone to several issues that can significantly impact a person’s quality of life (QoL). A catheter-associated urinary tract infection (CAUTI) is the most common problem seen with IUCs. A CAUTI refers to a person with an IUC </w:t>
      </w:r>
      <w:r>
        <w:rPr>
          <w:i/>
        </w:rPr>
        <w:t>in-situ</w:t>
      </w:r>
      <w:r>
        <w:t xml:space="preserve"> for a 48-hour period before the onset of a symptomatic urinary tract infection (UTI) that presents with bacteriuria with counts of colony-forming units/mL of 103˚ cfu/mL of a principal pathogen in a clean, sterile collected urine sample. Signs and symptoms associated with a CAUTI include dysuria, fever (not attributed to any </w:t>
      </w:r>
    </w:p>
    <w:p w14:paraId="208B292D" w14:textId="77777777" w:rsidR="006F0DDB" w:rsidRDefault="00000000">
      <w:pPr>
        <w:spacing w:before="127" w:after="119" w:line="234" w:lineRule="auto"/>
        <w:ind w:left="5" w:right="0" w:firstLine="0"/>
      </w:pPr>
      <w:r>
        <w:rPr>
          <w:sz w:val="16"/>
        </w:rPr>
        <w:t xml:space="preserve">Debbie Waddell, PhD, Pg CAP, PgCert Research, BA (Hons), RGN, FHEA, is a Senior Lecturer, Faculty of Health Sciences and Sport, University of Stirling, Scotland, United Kingdom. </w:t>
      </w:r>
    </w:p>
    <w:p w14:paraId="15B7716D" w14:textId="77777777" w:rsidR="006F0DDB" w:rsidRDefault="00000000">
      <w:pPr>
        <w:spacing w:after="120" w:line="234" w:lineRule="auto"/>
        <w:ind w:left="5" w:right="0" w:firstLine="0"/>
      </w:pPr>
      <w:r>
        <w:rPr>
          <w:sz w:val="16"/>
        </w:rPr>
        <w:t xml:space="preserve">William Gordon Mackay, PhD, PgCert TLHE, BSc. (Hons), MRSB, FHEA, is a Reader in Infection Control, and Research Lead, Biological Sciences, University of the West of Scotland, Scotland, United Kingdom. </w:t>
      </w:r>
    </w:p>
    <w:p w14:paraId="3987206A" w14:textId="77777777" w:rsidR="006F0DDB" w:rsidRDefault="00000000">
      <w:pPr>
        <w:spacing w:line="234" w:lineRule="auto"/>
        <w:ind w:left="5" w:right="0" w:firstLine="0"/>
      </w:pPr>
      <w:r>
        <w:rPr>
          <w:sz w:val="16"/>
        </w:rPr>
        <w:t>Suzanne Hagen, PhD, MSc, BSc (Hons), CStat, is a Professor, Health Services Research, and Deputy Director, NMAHP Research Unit, Glasgow Caledonian University, Scotland, United Kingdom.</w:t>
      </w:r>
    </w:p>
    <w:p w14:paraId="0FF356BB" w14:textId="77777777" w:rsidR="006F0DDB" w:rsidRDefault="00000000">
      <w:pPr>
        <w:ind w:left="5" w:right="5" w:firstLine="0"/>
      </w:pPr>
      <w:r>
        <w:t xml:space="preserve">other cause), suprapubic tenderness, costovertebral angle pain or tenderness and new onset urinary fre quency or urgency (CDC, 2009; European Assoc ia tion of Urology [EAU], 2023). Other catheter-related problems include blockage of the catheter tubing lumen or eyelets (Feneley et al., 2012), with subsequent bypassing (leakage of urine around the outside of the catheter), urethral strictures and </w:t>
      </w:r>
      <w:r>
        <w:lastRenderedPageBreak/>
        <w:t xml:space="preserve">gross hematuria (Hollingsworth et al., 2013; Wilde &amp; Cameron, 2003). </w:t>
      </w:r>
    </w:p>
    <w:p w14:paraId="0552FDB5" w14:textId="77777777" w:rsidR="006F0DDB" w:rsidRDefault="00000000">
      <w:pPr>
        <w:ind w:left="5" w:right="5"/>
      </w:pPr>
      <w:r>
        <w:t xml:space="preserve">Consensus on many catheter care practices is limited, such as the optimal interval between catheter replacements (Cochran, 2007; Gould et al., 2009; Newman et al., 2018; Shepherd et al., 2017). For example, some guidelines suggest that catheters should not be routinely changed (EAU, 2023), but changed when there is an infection or obstruction (Australian and New Zealand Urological Nurses Society, 2013; Gould et al., 2009); others suggest a scheduled change in anticipation of obstruction (Grabe et al., 2023). There are also recommendations (National Institute for Health and Care Excellence, 2012; Royal Cornwall Hospitals NHS Trust, 2015) that the IUC is changed according to the maximum time the manufacturer allows, and many guidelines followed by nurses in the United Kingdom advocate the optimal time lapse between changes is 12 weeks (recognizing that this might not always be possible). In the United States, some home health agencies have written policies in place for changes or replacement of IUCs at fixed intervals (Harrison et al., 2022), but they are most often changed every four weeks because catheter changes are usually driven by medical insurance coverage. The Society of Urologic Nurses and Associates (SUNA, 2021) guidelines note that current practice is to replace long-term IUCs every four </w:t>
      </w:r>
      <w:proofErr w:type="gramStart"/>
      <w:r>
        <w:t>weeks, but</w:t>
      </w:r>
      <w:proofErr w:type="gramEnd"/>
      <w:r>
        <w:t xml:space="preserve"> suggest that catheter replacement should be individualized and based on clinical symptoms (e.g., encrustations, leak age, CAUTIs) rather than rigid timings.  </w:t>
      </w:r>
    </w:p>
    <w:p w14:paraId="5BDBBDF4" w14:textId="77777777" w:rsidR="006F0DDB" w:rsidRDefault="00000000">
      <w:pPr>
        <w:ind w:left="5" w:right="5"/>
      </w:pPr>
      <w:r>
        <w:t xml:space="preserve">Catheter blockage has been associated with CAUTIs (Wilde et al., 2017), and they account for many of the unplanned visits made by home health nurses during evenings and weekends. Mackay and colleagues (2018) reported that 20% of community nurses’ unscheduled visits were triggered by urinary catheter problems, with bypassing and blockage accounting for 72% of these visits. </w:t>
      </w:r>
    </w:p>
    <w:p w14:paraId="18131222" w14:textId="77777777" w:rsidR="006F0DDB" w:rsidRDefault="00000000">
      <w:pPr>
        <w:ind w:left="5" w:right="5"/>
      </w:pPr>
      <w:r>
        <w:t xml:space="preserve">Crystalline biofilm formations, the cause of many clinical complications, are rapidly established following catheter insertion (Pelling et al., 2019; Stickler, 2014). Regular catheter changes may reduce the impact of biofilms on CAUTIs and blockages; however, catheter changes themselves are uncomfortable for patients (Newman, 2017).  </w:t>
      </w:r>
    </w:p>
    <w:p w14:paraId="2EAB69AF" w14:textId="77777777" w:rsidR="006F0DDB" w:rsidRDefault="00000000">
      <w:pPr>
        <w:ind w:left="5" w:right="5"/>
      </w:pPr>
      <w:r>
        <w:t xml:space="preserve">Roe and Brocklehurst (1987) reported that catheter changes were painful in 61% of long-term IUC users, with 30% saying they were dreading the change procedure. An increased risk of infection, urethral trauma, and long-term histological changes have been associated with routine monthly catheter </w:t>
      </w:r>
      <w:proofErr w:type="gramStart"/>
      <w:r>
        <w:t>replacements</w:t>
      </w:r>
      <w:proofErr w:type="gramEnd"/>
      <w:r>
        <w:t xml:space="preserve"> </w:t>
      </w:r>
    </w:p>
    <w:p w14:paraId="0102356C" w14:textId="77777777" w:rsidR="006F0DDB" w:rsidRDefault="00000000">
      <w:pPr>
        <w:ind w:left="5" w:right="5" w:firstLine="0"/>
      </w:pPr>
      <w:r>
        <w:t xml:space="preserve">(Cottenden et al., 2017).   </w:t>
      </w:r>
    </w:p>
    <w:p w14:paraId="4CC8115A" w14:textId="77777777" w:rsidR="006F0DDB" w:rsidRDefault="00000000">
      <w:pPr>
        <w:spacing w:after="0" w:line="259" w:lineRule="auto"/>
        <w:ind w:left="10" w:right="0" w:hanging="10"/>
        <w:jc w:val="center"/>
      </w:pPr>
      <w:r>
        <w:rPr>
          <w:rFonts w:ascii="Arial" w:eastAsia="Arial" w:hAnsi="Arial" w:cs="Arial"/>
        </w:rPr>
        <w:t xml:space="preserve">Table 1. </w:t>
      </w:r>
    </w:p>
    <w:p w14:paraId="324E8E7A" w14:textId="77777777" w:rsidR="006F0DDB" w:rsidRDefault="00000000">
      <w:pPr>
        <w:spacing w:after="0" w:line="259" w:lineRule="auto"/>
        <w:ind w:left="10" w:right="0" w:hanging="10"/>
        <w:jc w:val="center"/>
      </w:pPr>
      <w:r>
        <w:rPr>
          <w:rFonts w:ascii="Arial" w:eastAsia="Arial" w:hAnsi="Arial" w:cs="Arial"/>
        </w:rPr>
        <w:t>Inclusion and Exclusion Criteria</w:t>
      </w:r>
    </w:p>
    <w:tbl>
      <w:tblPr>
        <w:tblStyle w:val="TableGrid"/>
        <w:tblW w:w="4705" w:type="dxa"/>
        <w:tblInd w:w="3" w:type="dxa"/>
        <w:tblCellMar>
          <w:top w:w="86" w:type="dxa"/>
          <w:left w:w="85" w:type="dxa"/>
          <w:bottom w:w="0" w:type="dxa"/>
          <w:right w:w="1" w:type="dxa"/>
        </w:tblCellMar>
        <w:tblLook w:val="04A0" w:firstRow="1" w:lastRow="0" w:firstColumn="1" w:lastColumn="0" w:noHBand="0" w:noVBand="1"/>
      </w:tblPr>
      <w:tblGrid>
        <w:gridCol w:w="1048"/>
        <w:gridCol w:w="3657"/>
      </w:tblGrid>
      <w:tr w:rsidR="006F0DDB" w14:paraId="0740B17D" w14:textId="77777777">
        <w:trPr>
          <w:trHeight w:val="1527"/>
        </w:trPr>
        <w:tc>
          <w:tcPr>
            <w:tcW w:w="1048" w:type="dxa"/>
            <w:tcBorders>
              <w:top w:val="single" w:sz="8" w:space="0" w:color="563C80"/>
              <w:left w:val="single" w:sz="8" w:space="0" w:color="563C80"/>
              <w:bottom w:val="single" w:sz="4" w:space="0" w:color="563C80"/>
              <w:right w:val="single" w:sz="4" w:space="0" w:color="563C80"/>
            </w:tcBorders>
            <w:shd w:val="clear" w:color="auto" w:fill="EDE7F1"/>
          </w:tcPr>
          <w:p w14:paraId="0ABCA907" w14:textId="77777777" w:rsidR="006F0DDB" w:rsidRDefault="00000000">
            <w:pPr>
              <w:spacing w:after="0" w:line="259" w:lineRule="auto"/>
              <w:ind w:left="3" w:right="0" w:firstLine="0"/>
              <w:jc w:val="left"/>
            </w:pPr>
            <w:r>
              <w:rPr>
                <w:rFonts w:ascii="Arial" w:eastAsia="Arial" w:hAnsi="Arial" w:cs="Arial"/>
                <w:sz w:val="18"/>
              </w:rPr>
              <w:t>Inclusion Criteria</w:t>
            </w:r>
          </w:p>
        </w:tc>
        <w:tc>
          <w:tcPr>
            <w:tcW w:w="3657" w:type="dxa"/>
            <w:tcBorders>
              <w:top w:val="single" w:sz="8" w:space="0" w:color="563C80"/>
              <w:left w:val="single" w:sz="4" w:space="0" w:color="563C80"/>
              <w:bottom w:val="single" w:sz="4" w:space="0" w:color="563C80"/>
              <w:right w:val="single" w:sz="8" w:space="0" w:color="563C80"/>
            </w:tcBorders>
            <w:shd w:val="clear" w:color="auto" w:fill="EDE7F1"/>
          </w:tcPr>
          <w:p w14:paraId="02AD28B2" w14:textId="77777777" w:rsidR="006F0DDB" w:rsidRDefault="00000000">
            <w:pPr>
              <w:spacing w:after="0" w:line="259" w:lineRule="auto"/>
              <w:ind w:left="0" w:right="0" w:firstLine="0"/>
              <w:jc w:val="left"/>
            </w:pPr>
            <w:r>
              <w:rPr>
                <w:rFonts w:ascii="Arial" w:eastAsia="Arial" w:hAnsi="Arial" w:cs="Arial"/>
                <w:sz w:val="18"/>
              </w:rPr>
              <w:t xml:space="preserve">Male and female patients </w:t>
            </w:r>
          </w:p>
          <w:p w14:paraId="47FEDC27" w14:textId="77777777" w:rsidR="006F0DDB" w:rsidRDefault="00000000">
            <w:pPr>
              <w:spacing w:after="0" w:line="259" w:lineRule="auto"/>
              <w:ind w:left="0" w:right="0" w:firstLine="0"/>
              <w:jc w:val="left"/>
            </w:pPr>
            <w:r>
              <w:rPr>
                <w:rFonts w:ascii="Arial" w:eastAsia="Arial" w:hAnsi="Arial" w:cs="Arial"/>
                <w:sz w:val="18"/>
              </w:rPr>
              <w:t xml:space="preserve">English speaking </w:t>
            </w:r>
          </w:p>
          <w:p w14:paraId="17509372" w14:textId="77777777" w:rsidR="006F0DDB" w:rsidRDefault="00000000">
            <w:pPr>
              <w:spacing w:after="0" w:line="259" w:lineRule="auto"/>
              <w:ind w:left="0" w:right="0" w:firstLine="0"/>
              <w:jc w:val="left"/>
            </w:pPr>
            <w:r>
              <w:rPr>
                <w:rFonts w:ascii="Arial" w:eastAsia="Arial" w:hAnsi="Arial" w:cs="Arial"/>
                <w:sz w:val="18"/>
              </w:rPr>
              <w:t xml:space="preserve">18 years or older </w:t>
            </w:r>
          </w:p>
          <w:p w14:paraId="09354DA4" w14:textId="77777777" w:rsidR="006F0DDB" w:rsidRDefault="00000000">
            <w:pPr>
              <w:spacing w:after="0" w:line="232" w:lineRule="auto"/>
              <w:ind w:left="240" w:right="0" w:hanging="240"/>
              <w:jc w:val="left"/>
            </w:pPr>
            <w:r>
              <w:rPr>
                <w:rFonts w:ascii="Arial" w:eastAsia="Arial" w:hAnsi="Arial" w:cs="Arial"/>
                <w:sz w:val="18"/>
              </w:rPr>
              <w:t xml:space="preserve">Uses either a urethral or suprapubic LTIUC (use of an indwelling urinary catheter for greater than or equal to 1 year duration)  </w:t>
            </w:r>
          </w:p>
          <w:p w14:paraId="5CF03C28" w14:textId="77777777" w:rsidR="006F0DDB" w:rsidRDefault="00000000">
            <w:pPr>
              <w:spacing w:after="0" w:line="259" w:lineRule="auto"/>
              <w:ind w:left="0" w:right="0" w:firstLine="0"/>
              <w:jc w:val="left"/>
            </w:pPr>
            <w:r>
              <w:rPr>
                <w:rFonts w:ascii="Arial" w:eastAsia="Arial" w:hAnsi="Arial" w:cs="Arial"/>
                <w:sz w:val="18"/>
              </w:rPr>
              <w:t>Be able to provide informed consent</w:t>
            </w:r>
          </w:p>
        </w:tc>
      </w:tr>
      <w:tr w:rsidR="006F0DDB" w14:paraId="6263A194" w14:textId="77777777">
        <w:trPr>
          <w:trHeight w:val="1143"/>
        </w:trPr>
        <w:tc>
          <w:tcPr>
            <w:tcW w:w="1048" w:type="dxa"/>
            <w:tcBorders>
              <w:top w:val="single" w:sz="4" w:space="0" w:color="563C80"/>
              <w:left w:val="single" w:sz="8" w:space="0" w:color="563C80"/>
              <w:bottom w:val="single" w:sz="8" w:space="0" w:color="563C80"/>
              <w:right w:val="single" w:sz="4" w:space="0" w:color="563C80"/>
            </w:tcBorders>
          </w:tcPr>
          <w:p w14:paraId="57E5AB8D" w14:textId="77777777" w:rsidR="006F0DDB" w:rsidRDefault="00000000">
            <w:pPr>
              <w:spacing w:after="0" w:line="259" w:lineRule="auto"/>
              <w:ind w:left="3" w:right="0" w:firstLine="0"/>
              <w:jc w:val="left"/>
            </w:pPr>
            <w:r>
              <w:rPr>
                <w:rFonts w:ascii="Arial" w:eastAsia="Arial" w:hAnsi="Arial" w:cs="Arial"/>
                <w:sz w:val="18"/>
              </w:rPr>
              <w:t>Exclusion Criteria</w:t>
            </w:r>
          </w:p>
        </w:tc>
        <w:tc>
          <w:tcPr>
            <w:tcW w:w="3657" w:type="dxa"/>
            <w:tcBorders>
              <w:top w:val="single" w:sz="4" w:space="0" w:color="563C80"/>
              <w:left w:val="single" w:sz="4" w:space="0" w:color="563C80"/>
              <w:bottom w:val="single" w:sz="8" w:space="0" w:color="563C80"/>
              <w:right w:val="single" w:sz="8" w:space="0" w:color="563C80"/>
            </w:tcBorders>
          </w:tcPr>
          <w:p w14:paraId="20F32155" w14:textId="77777777" w:rsidR="006F0DDB" w:rsidRDefault="00000000">
            <w:pPr>
              <w:spacing w:after="0" w:line="232" w:lineRule="auto"/>
              <w:ind w:left="240" w:right="0" w:hanging="240"/>
              <w:jc w:val="left"/>
            </w:pPr>
            <w:r>
              <w:rPr>
                <w:rFonts w:ascii="Arial" w:eastAsia="Arial" w:hAnsi="Arial" w:cs="Arial"/>
                <w:sz w:val="18"/>
              </w:rPr>
              <w:t xml:space="preserve">Duration of urethral or suprapubic IUC less than 1 year </w:t>
            </w:r>
          </w:p>
          <w:p w14:paraId="2A527CF1" w14:textId="77777777" w:rsidR="006F0DDB" w:rsidRDefault="00000000">
            <w:pPr>
              <w:spacing w:after="0" w:line="259" w:lineRule="auto"/>
              <w:ind w:left="0" w:right="0" w:firstLine="0"/>
              <w:jc w:val="left"/>
            </w:pPr>
            <w:r>
              <w:rPr>
                <w:rFonts w:ascii="Arial" w:eastAsia="Arial" w:hAnsi="Arial" w:cs="Arial"/>
                <w:sz w:val="18"/>
              </w:rPr>
              <w:t xml:space="preserve">Using an intermittent urethral catheter </w:t>
            </w:r>
          </w:p>
          <w:p w14:paraId="398FF2D5" w14:textId="77777777" w:rsidR="006F0DDB" w:rsidRDefault="00000000">
            <w:pPr>
              <w:spacing w:after="0" w:line="259" w:lineRule="auto"/>
              <w:ind w:left="240" w:right="0" w:hanging="240"/>
              <w:jc w:val="left"/>
            </w:pPr>
            <w:r>
              <w:rPr>
                <w:rFonts w:ascii="Arial" w:eastAsia="Arial" w:hAnsi="Arial" w:cs="Arial"/>
                <w:sz w:val="18"/>
              </w:rPr>
              <w:t>Unable to complete questionnaires or provide informed consent</w:t>
            </w:r>
          </w:p>
        </w:tc>
      </w:tr>
    </w:tbl>
    <w:p w14:paraId="233AA08E" w14:textId="77777777" w:rsidR="006F0DDB" w:rsidRDefault="00000000">
      <w:pPr>
        <w:spacing w:after="360" w:line="233" w:lineRule="auto"/>
        <w:ind w:left="-5" w:right="0" w:hanging="10"/>
        <w:jc w:val="left"/>
      </w:pPr>
      <w:r>
        <w:rPr>
          <w:rFonts w:ascii="Arial" w:eastAsia="Arial" w:hAnsi="Arial" w:cs="Arial"/>
          <w:i/>
          <w:sz w:val="18"/>
        </w:rPr>
        <w:t>Notes:</w:t>
      </w:r>
      <w:r>
        <w:rPr>
          <w:rFonts w:ascii="Arial" w:eastAsia="Arial" w:hAnsi="Arial" w:cs="Arial"/>
          <w:sz w:val="18"/>
        </w:rPr>
        <w:t xml:space="preserve"> IUC = indwelling urinary catheter, LTIUC = long-term indwelling urinary catheter.</w:t>
      </w:r>
    </w:p>
    <w:p w14:paraId="1B2E2FBF" w14:textId="77777777" w:rsidR="006F0DDB" w:rsidRDefault="00000000">
      <w:pPr>
        <w:spacing w:after="0" w:line="259" w:lineRule="auto"/>
        <w:ind w:left="15" w:right="0" w:hanging="10"/>
        <w:jc w:val="left"/>
      </w:pPr>
      <w:r>
        <w:rPr>
          <w:color w:val="563C80"/>
          <w:sz w:val="22"/>
        </w:rPr>
        <w:t>Purpose or Research Questions/Problems/</w:t>
      </w:r>
    </w:p>
    <w:p w14:paraId="55EA62CA" w14:textId="77777777" w:rsidR="006F0DDB" w:rsidRDefault="00000000">
      <w:pPr>
        <w:pStyle w:val="Heading2"/>
        <w:ind w:left="15"/>
      </w:pPr>
      <w:r>
        <w:t xml:space="preserve">Hypotheses </w:t>
      </w:r>
    </w:p>
    <w:p w14:paraId="1BDCC643" w14:textId="77777777" w:rsidR="006F0DDB" w:rsidRDefault="00000000">
      <w:pPr>
        <w:spacing w:after="73" w:line="259" w:lineRule="auto"/>
        <w:ind w:right="0" w:firstLine="0"/>
        <w:jc w:val="left"/>
      </w:pPr>
      <w:r>
        <w:rPr>
          <w:rFonts w:ascii="Calibri" w:eastAsia="Calibri" w:hAnsi="Calibri" w:cs="Calibri"/>
          <w:noProof/>
          <w:color w:val="000000"/>
          <w:sz w:val="22"/>
        </w:rPr>
        <mc:AlternateContent>
          <mc:Choice Requires="wpg">
            <w:drawing>
              <wp:inline distT="0" distB="0" distL="0" distR="0" wp14:anchorId="087F1EC9" wp14:editId="0FCCB3DA">
                <wp:extent cx="2965450" cy="25400"/>
                <wp:effectExtent l="0" t="0" r="0" b="0"/>
                <wp:docPr id="30825" name="Group 30825"/>
                <wp:cNvGraphicFramePr/>
                <a:graphic xmlns:a="http://schemas.openxmlformats.org/drawingml/2006/main">
                  <a:graphicData uri="http://schemas.microsoft.com/office/word/2010/wordprocessingGroup">
                    <wpg:wgp>
                      <wpg:cNvGrpSpPr/>
                      <wpg:grpSpPr>
                        <a:xfrm>
                          <a:off x="0" y="0"/>
                          <a:ext cx="2965450" cy="25400"/>
                          <a:chOff x="0" y="0"/>
                          <a:chExt cx="2965450" cy="25400"/>
                        </a:xfrm>
                      </wpg:grpSpPr>
                      <wps:wsp>
                        <wps:cNvPr id="611" name="Shape 611"/>
                        <wps:cNvSpPr/>
                        <wps:spPr>
                          <a:xfrm>
                            <a:off x="0" y="0"/>
                            <a:ext cx="2965450" cy="0"/>
                          </a:xfrm>
                          <a:custGeom>
                            <a:avLst/>
                            <a:gdLst/>
                            <a:ahLst/>
                            <a:cxnLst/>
                            <a:rect l="0" t="0" r="0" b="0"/>
                            <a:pathLst>
                              <a:path w="2965450">
                                <a:moveTo>
                                  <a:pt x="0" y="0"/>
                                </a:moveTo>
                                <a:lnTo>
                                  <a:pt x="2965450" y="0"/>
                                </a:lnTo>
                              </a:path>
                            </a:pathLst>
                          </a:custGeom>
                          <a:ln w="25400" cap="flat">
                            <a:miter lim="127000"/>
                          </a:ln>
                        </wps:spPr>
                        <wps:style>
                          <a:lnRef idx="1">
                            <a:srgbClr val="9F8CB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825" style="width:233.5pt;height:2pt;mso-position-horizontal-relative:char;mso-position-vertical-relative:line" coordsize="29654,254">
                <v:shape id="Shape 611" style="position:absolute;width:29654;height:0;left:0;top:0;" coordsize="2965450,0" path="m0,0l2965450,0">
                  <v:stroke weight="2pt" endcap="flat" joinstyle="miter" miterlimit="10" on="true" color="#9f8cb9"/>
                  <v:fill on="false" color="#000000" opacity="0"/>
                </v:shape>
              </v:group>
            </w:pict>
          </mc:Fallback>
        </mc:AlternateContent>
      </w:r>
    </w:p>
    <w:p w14:paraId="7FAEBADF" w14:textId="77777777" w:rsidR="006F0DDB" w:rsidRDefault="00000000">
      <w:pPr>
        <w:ind w:left="5" w:right="5"/>
      </w:pPr>
      <w:r>
        <w:t xml:space="preserve">This cross-sectional study, </w:t>
      </w:r>
      <w:r>
        <w:rPr>
          <w:u w:val="single" w:color="181717"/>
        </w:rPr>
        <w:t>IM</w:t>
      </w:r>
      <w:r>
        <w:t xml:space="preserve">pact of </w:t>
      </w:r>
      <w:r>
        <w:rPr>
          <w:u w:val="single" w:color="181717"/>
        </w:rPr>
        <w:t>P</w:t>
      </w:r>
      <w:r>
        <w:t xml:space="preserve">ractice on </w:t>
      </w:r>
      <w:r>
        <w:rPr>
          <w:u w:val="single" w:color="181717"/>
        </w:rPr>
        <w:t>L</w:t>
      </w:r>
      <w:r>
        <w:t xml:space="preserve">ife with an </w:t>
      </w:r>
      <w:r>
        <w:rPr>
          <w:u w:val="single" w:color="181717"/>
        </w:rPr>
        <w:t>I</w:t>
      </w:r>
      <w:r>
        <w:t xml:space="preserve">ndwelling </w:t>
      </w:r>
      <w:r>
        <w:rPr>
          <w:u w:val="single" w:color="181717"/>
        </w:rPr>
        <w:t>C</w:t>
      </w:r>
      <w:r>
        <w:t>atheter – intern</w:t>
      </w:r>
      <w:r>
        <w:rPr>
          <w:u w:val="single" w:color="181717"/>
        </w:rPr>
        <w:t>AT</w:t>
      </w:r>
      <w:r>
        <w:t xml:space="preserve">ional </w:t>
      </w:r>
      <w:r>
        <w:rPr>
          <w:u w:val="single" w:color="181717"/>
        </w:rPr>
        <w:t>E</w:t>
      </w:r>
      <w:r>
        <w:t>valuation (</w:t>
      </w:r>
      <w:r>
        <w:rPr>
          <w:rFonts w:ascii="Calibri" w:eastAsia="Calibri" w:hAnsi="Calibri" w:cs="Calibri"/>
          <w:i/>
        </w:rPr>
        <w:t>IMPLICATE</w:t>
      </w:r>
      <w:r>
        <w:t xml:space="preserve">), aimed to compare the QoL of community-dwelling individuals with a long-term ICU in the United Kingdom and United States where catheter care policies differ with respect to types and routes of catheterization and timing of IUC changes. </w:t>
      </w:r>
    </w:p>
    <w:p w14:paraId="6D44089A" w14:textId="77777777" w:rsidR="006F0DDB" w:rsidRDefault="00000000">
      <w:pPr>
        <w:spacing w:after="90" w:line="259" w:lineRule="auto"/>
        <w:ind w:left="380" w:right="0" w:firstLine="0"/>
        <w:jc w:val="left"/>
      </w:pPr>
      <w:r>
        <w:t xml:space="preserve"> </w:t>
      </w:r>
    </w:p>
    <w:p w14:paraId="660AE511" w14:textId="77777777" w:rsidR="006F0DDB" w:rsidRDefault="00000000">
      <w:pPr>
        <w:pStyle w:val="Heading2"/>
        <w:ind w:left="15"/>
      </w:pPr>
      <w:r>
        <w:t xml:space="preserve">Methodology </w:t>
      </w:r>
    </w:p>
    <w:p w14:paraId="4B02B762" w14:textId="77777777" w:rsidR="006F0DDB" w:rsidRDefault="00000000">
      <w:pPr>
        <w:spacing w:after="252" w:line="259" w:lineRule="auto"/>
        <w:ind w:right="0" w:firstLine="0"/>
        <w:jc w:val="left"/>
      </w:pPr>
      <w:r>
        <w:rPr>
          <w:rFonts w:ascii="Calibri" w:eastAsia="Calibri" w:hAnsi="Calibri" w:cs="Calibri"/>
          <w:noProof/>
          <w:color w:val="000000"/>
          <w:sz w:val="22"/>
        </w:rPr>
        <mc:AlternateContent>
          <mc:Choice Requires="wpg">
            <w:drawing>
              <wp:inline distT="0" distB="0" distL="0" distR="0" wp14:anchorId="3B1C79D4" wp14:editId="4E7A865E">
                <wp:extent cx="2965450" cy="25400"/>
                <wp:effectExtent l="0" t="0" r="0" b="0"/>
                <wp:docPr id="30827" name="Group 30827"/>
                <wp:cNvGraphicFramePr/>
                <a:graphic xmlns:a="http://schemas.openxmlformats.org/drawingml/2006/main">
                  <a:graphicData uri="http://schemas.microsoft.com/office/word/2010/wordprocessingGroup">
                    <wpg:wgp>
                      <wpg:cNvGrpSpPr/>
                      <wpg:grpSpPr>
                        <a:xfrm>
                          <a:off x="0" y="0"/>
                          <a:ext cx="2965450" cy="25400"/>
                          <a:chOff x="0" y="0"/>
                          <a:chExt cx="2965450" cy="25400"/>
                        </a:xfrm>
                      </wpg:grpSpPr>
                      <wps:wsp>
                        <wps:cNvPr id="650" name="Shape 650"/>
                        <wps:cNvSpPr/>
                        <wps:spPr>
                          <a:xfrm>
                            <a:off x="0" y="0"/>
                            <a:ext cx="2965450" cy="0"/>
                          </a:xfrm>
                          <a:custGeom>
                            <a:avLst/>
                            <a:gdLst/>
                            <a:ahLst/>
                            <a:cxnLst/>
                            <a:rect l="0" t="0" r="0" b="0"/>
                            <a:pathLst>
                              <a:path w="2965450">
                                <a:moveTo>
                                  <a:pt x="0" y="0"/>
                                </a:moveTo>
                                <a:lnTo>
                                  <a:pt x="2965450" y="0"/>
                                </a:lnTo>
                              </a:path>
                            </a:pathLst>
                          </a:custGeom>
                          <a:ln w="25400" cap="flat">
                            <a:miter lim="127000"/>
                          </a:ln>
                        </wps:spPr>
                        <wps:style>
                          <a:lnRef idx="1">
                            <a:srgbClr val="9F8CB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0827" style="width:233.5pt;height:2pt;mso-position-horizontal-relative:char;mso-position-vertical-relative:line" coordsize="29654,254">
                <v:shape id="Shape 650" style="position:absolute;width:29654;height:0;left:0;top:0;" coordsize="2965450,0" path="m0,0l2965450,0">
                  <v:stroke weight="2pt" endcap="flat" joinstyle="miter" miterlimit="10" on="true" color="#9f8cb9"/>
                  <v:fill on="false" color="#000000" opacity="0"/>
                </v:shape>
              </v:group>
            </w:pict>
          </mc:Fallback>
        </mc:AlternateContent>
      </w:r>
    </w:p>
    <w:p w14:paraId="42420E42" w14:textId="77777777" w:rsidR="006F0DDB" w:rsidRDefault="00000000">
      <w:pPr>
        <w:pStyle w:val="Heading3"/>
        <w:ind w:left="15"/>
      </w:pPr>
      <w:r>
        <w:t xml:space="preserve">Design </w:t>
      </w:r>
    </w:p>
    <w:p w14:paraId="7B29C3C7" w14:textId="77777777" w:rsidR="006F0DDB" w:rsidRDefault="00000000">
      <w:pPr>
        <w:ind w:left="5" w:right="5"/>
      </w:pPr>
      <w:r>
        <w:t xml:space="preserve">Participants were recruited from either home health agencies or outpatient urology practices. In the United Kingdom, community nurses from primary care clinical practices in one National Health Service (NHS) Health Board area identified potential long-term IUC users and informed them of the study. In the United States, longterm IUC users were recruited from a home health care agency and a large urban academic urology practice. Home health nurses in both countries were informed of the study and enrollment criteria. Participants were provided with an information sheet describing the study, and those who were interested in taking part were contacted by telephone by a member of the research team who checked that inclusion/exclusion criteria were met (Table 1), provided further information, answered any questions, and then sought verbal informed consent.  </w:t>
      </w:r>
    </w:p>
    <w:p w14:paraId="0C48A647" w14:textId="77777777" w:rsidR="006F0DDB" w:rsidRDefault="00000000">
      <w:pPr>
        <w:spacing w:line="259" w:lineRule="auto"/>
        <w:ind w:left="10" w:right="5" w:hanging="10"/>
        <w:jc w:val="right"/>
      </w:pPr>
      <w:r>
        <w:t xml:space="preserve">Ethical approval for the study was granted from the </w:t>
      </w:r>
    </w:p>
    <w:p w14:paraId="5A1FA45E" w14:textId="77777777" w:rsidR="006F0DDB" w:rsidRDefault="00000000">
      <w:pPr>
        <w:ind w:left="5" w:right="5" w:firstLine="0"/>
      </w:pPr>
      <w:r>
        <w:t xml:space="preserve">University of Pennsylvania Institutional Research Board </w:t>
      </w:r>
    </w:p>
    <w:p w14:paraId="0AF19B4B" w14:textId="77777777" w:rsidR="006F0DDB" w:rsidRDefault="00000000">
      <w:pPr>
        <w:spacing w:after="178"/>
        <w:ind w:left="5" w:right="5" w:firstLine="0"/>
      </w:pPr>
      <w:r>
        <w:lastRenderedPageBreak/>
        <w:t xml:space="preserve">(#834082) in the United States and from the LondonChelsea Research Ethics Committee (REC Ref: 19/LO/1752, IRAS project ID 263507, approved 17 Dec 2019) via the IRAS system in the United Kingdom.  </w:t>
      </w:r>
    </w:p>
    <w:p w14:paraId="71DF4A5C" w14:textId="77777777" w:rsidR="006F0DDB" w:rsidRDefault="00000000">
      <w:pPr>
        <w:pStyle w:val="Heading3"/>
        <w:ind w:left="15"/>
      </w:pPr>
      <w:r>
        <w:t xml:space="preserve">Outcome Measures </w:t>
      </w:r>
    </w:p>
    <w:p w14:paraId="1E349B84" w14:textId="77777777" w:rsidR="006F0DDB" w:rsidRDefault="00000000">
      <w:pPr>
        <w:ind w:left="5" w:right="5"/>
      </w:pPr>
      <w:r>
        <w:t>Participants received either a one-time face-to-face visit or a telephone call by the research assistant and</w:t>
      </w:r>
    </w:p>
    <w:p w14:paraId="633EE69A" w14:textId="77777777" w:rsidR="006F0DDB" w:rsidRDefault="006F0DDB">
      <w:pPr>
        <w:sectPr w:rsidR="006F0DDB">
          <w:type w:val="continuous"/>
          <w:pgSz w:w="11700" w:h="15660"/>
          <w:pgMar w:top="1680" w:right="960" w:bottom="964" w:left="960" w:header="720" w:footer="720" w:gutter="0"/>
          <w:cols w:num="2" w:space="310"/>
        </w:sectPr>
      </w:pPr>
    </w:p>
    <w:p w14:paraId="7F217F01" w14:textId="77777777" w:rsidR="006F0DDB" w:rsidRDefault="00000000">
      <w:pPr>
        <w:spacing w:after="0" w:line="259" w:lineRule="auto"/>
        <w:ind w:left="3171" w:right="3160" w:hanging="10"/>
        <w:jc w:val="center"/>
      </w:pPr>
      <w:r>
        <w:rPr>
          <w:rFonts w:ascii="Arial" w:eastAsia="Arial" w:hAnsi="Arial" w:cs="Arial"/>
        </w:rPr>
        <w:t>Table 2. Participant Characteristics</w:t>
      </w:r>
    </w:p>
    <w:tbl>
      <w:tblPr>
        <w:tblStyle w:val="TableGrid"/>
        <w:tblW w:w="9778" w:type="dxa"/>
        <w:tblInd w:w="-478" w:type="dxa"/>
        <w:tblCellMar>
          <w:top w:w="86" w:type="dxa"/>
          <w:left w:w="42" w:type="dxa"/>
          <w:bottom w:w="0" w:type="dxa"/>
          <w:right w:w="92" w:type="dxa"/>
        </w:tblCellMar>
        <w:tblLook w:val="04A0" w:firstRow="1" w:lastRow="0" w:firstColumn="1" w:lastColumn="0" w:noHBand="0" w:noVBand="1"/>
      </w:tblPr>
      <w:tblGrid>
        <w:gridCol w:w="4500"/>
        <w:gridCol w:w="2640"/>
        <w:gridCol w:w="2638"/>
      </w:tblGrid>
      <w:tr w:rsidR="006F0DDB" w14:paraId="2462D38E" w14:textId="77777777">
        <w:trPr>
          <w:trHeight w:val="318"/>
        </w:trPr>
        <w:tc>
          <w:tcPr>
            <w:tcW w:w="4500" w:type="dxa"/>
            <w:tcBorders>
              <w:top w:val="single" w:sz="8" w:space="0" w:color="563C80"/>
              <w:left w:val="single" w:sz="8" w:space="0" w:color="563C80"/>
              <w:bottom w:val="single" w:sz="4" w:space="0" w:color="563C80"/>
              <w:right w:val="single" w:sz="4" w:space="0" w:color="563C80"/>
            </w:tcBorders>
            <w:shd w:val="clear" w:color="auto" w:fill="D3CBE1"/>
          </w:tcPr>
          <w:p w14:paraId="43123A21" w14:textId="77777777" w:rsidR="006F0DDB" w:rsidRDefault="006F0DDB">
            <w:pPr>
              <w:spacing w:after="160" w:line="259" w:lineRule="auto"/>
              <w:ind w:left="0" w:right="0" w:firstLine="0"/>
              <w:jc w:val="left"/>
            </w:pPr>
          </w:p>
        </w:tc>
        <w:tc>
          <w:tcPr>
            <w:tcW w:w="2640" w:type="dxa"/>
            <w:tcBorders>
              <w:top w:val="single" w:sz="8" w:space="0" w:color="563C80"/>
              <w:left w:val="single" w:sz="4" w:space="0" w:color="563C80"/>
              <w:bottom w:val="single" w:sz="4" w:space="0" w:color="563C80"/>
              <w:right w:val="single" w:sz="4" w:space="0" w:color="563C80"/>
            </w:tcBorders>
            <w:shd w:val="clear" w:color="auto" w:fill="D3CBE1"/>
          </w:tcPr>
          <w:p w14:paraId="2D4CEC11" w14:textId="77777777" w:rsidR="006F0DDB" w:rsidRDefault="00000000">
            <w:pPr>
              <w:spacing w:after="0" w:line="259" w:lineRule="auto"/>
              <w:ind w:left="49" w:right="0" w:firstLine="0"/>
              <w:jc w:val="center"/>
            </w:pPr>
            <w:r>
              <w:rPr>
                <w:rFonts w:ascii="Arial" w:eastAsia="Arial" w:hAnsi="Arial" w:cs="Arial"/>
                <w:sz w:val="18"/>
              </w:rPr>
              <w:t xml:space="preserve">United States </w:t>
            </w:r>
            <w:r>
              <w:rPr>
                <w:rFonts w:ascii="Arial" w:eastAsia="Arial" w:hAnsi="Arial" w:cs="Arial"/>
                <w:i/>
                <w:sz w:val="18"/>
              </w:rPr>
              <w:t>N</w:t>
            </w:r>
            <w:r>
              <w:rPr>
                <w:rFonts w:ascii="Arial" w:eastAsia="Arial" w:hAnsi="Arial" w:cs="Arial"/>
                <w:sz w:val="18"/>
              </w:rPr>
              <w:t xml:space="preserve"> (%) </w:t>
            </w:r>
          </w:p>
        </w:tc>
        <w:tc>
          <w:tcPr>
            <w:tcW w:w="2638" w:type="dxa"/>
            <w:tcBorders>
              <w:top w:val="single" w:sz="8" w:space="0" w:color="563C80"/>
              <w:left w:val="single" w:sz="4" w:space="0" w:color="563C80"/>
              <w:bottom w:val="single" w:sz="4" w:space="0" w:color="563C80"/>
              <w:right w:val="single" w:sz="8" w:space="0" w:color="563C80"/>
            </w:tcBorders>
            <w:shd w:val="clear" w:color="auto" w:fill="D3CBE1"/>
          </w:tcPr>
          <w:p w14:paraId="7B09071D" w14:textId="77777777" w:rsidR="006F0DDB" w:rsidRDefault="00000000">
            <w:pPr>
              <w:spacing w:after="0" w:line="259" w:lineRule="auto"/>
              <w:ind w:left="47" w:right="0" w:firstLine="0"/>
              <w:jc w:val="center"/>
            </w:pPr>
            <w:r>
              <w:rPr>
                <w:rFonts w:ascii="Arial" w:eastAsia="Arial" w:hAnsi="Arial" w:cs="Arial"/>
                <w:sz w:val="18"/>
              </w:rPr>
              <w:t xml:space="preserve">United Kingdom </w:t>
            </w:r>
            <w:r>
              <w:rPr>
                <w:rFonts w:ascii="Arial" w:eastAsia="Arial" w:hAnsi="Arial" w:cs="Arial"/>
                <w:i/>
                <w:sz w:val="18"/>
              </w:rPr>
              <w:t>N</w:t>
            </w:r>
            <w:r>
              <w:rPr>
                <w:rFonts w:ascii="Arial" w:eastAsia="Arial" w:hAnsi="Arial" w:cs="Arial"/>
                <w:sz w:val="18"/>
              </w:rPr>
              <w:t xml:space="preserve"> (%) </w:t>
            </w:r>
          </w:p>
        </w:tc>
      </w:tr>
      <w:tr w:rsidR="006F0DDB" w14:paraId="186D9F51" w14:textId="77777777">
        <w:trPr>
          <w:trHeight w:val="323"/>
        </w:trPr>
        <w:tc>
          <w:tcPr>
            <w:tcW w:w="4500" w:type="dxa"/>
            <w:tcBorders>
              <w:top w:val="single" w:sz="4" w:space="0" w:color="563C80"/>
              <w:left w:val="single" w:sz="8" w:space="0" w:color="563C80"/>
              <w:bottom w:val="single" w:sz="4" w:space="0" w:color="563C80"/>
              <w:right w:val="single" w:sz="4" w:space="0" w:color="563C80"/>
            </w:tcBorders>
          </w:tcPr>
          <w:p w14:paraId="7E5AB756" w14:textId="77777777" w:rsidR="006F0DDB" w:rsidRDefault="00000000">
            <w:pPr>
              <w:spacing w:after="0" w:line="259" w:lineRule="auto"/>
              <w:ind w:left="45" w:right="0" w:firstLine="0"/>
              <w:jc w:val="left"/>
            </w:pPr>
            <w:r>
              <w:rPr>
                <w:rFonts w:ascii="Arial" w:eastAsia="Arial" w:hAnsi="Arial" w:cs="Arial"/>
                <w:sz w:val="18"/>
              </w:rPr>
              <w:t xml:space="preserve">Mean Age </w:t>
            </w:r>
          </w:p>
        </w:tc>
        <w:tc>
          <w:tcPr>
            <w:tcW w:w="2640" w:type="dxa"/>
            <w:tcBorders>
              <w:top w:val="single" w:sz="4" w:space="0" w:color="563C80"/>
              <w:left w:val="single" w:sz="4" w:space="0" w:color="563C80"/>
              <w:bottom w:val="single" w:sz="4" w:space="0" w:color="563C80"/>
              <w:right w:val="single" w:sz="4" w:space="0" w:color="563C80"/>
            </w:tcBorders>
          </w:tcPr>
          <w:p w14:paraId="79386CC1" w14:textId="77777777" w:rsidR="006F0DDB" w:rsidRDefault="00000000">
            <w:pPr>
              <w:spacing w:after="0" w:line="259" w:lineRule="auto"/>
              <w:ind w:left="49" w:right="0" w:firstLine="0"/>
              <w:jc w:val="center"/>
            </w:pPr>
            <w:r>
              <w:rPr>
                <w:rFonts w:ascii="Arial" w:eastAsia="Arial" w:hAnsi="Arial" w:cs="Arial"/>
                <w:sz w:val="18"/>
              </w:rPr>
              <w:t xml:space="preserve">69.5 </w:t>
            </w:r>
          </w:p>
        </w:tc>
        <w:tc>
          <w:tcPr>
            <w:tcW w:w="2638" w:type="dxa"/>
            <w:tcBorders>
              <w:top w:val="single" w:sz="4" w:space="0" w:color="563C80"/>
              <w:left w:val="single" w:sz="4" w:space="0" w:color="563C80"/>
              <w:bottom w:val="single" w:sz="4" w:space="0" w:color="563C80"/>
              <w:right w:val="single" w:sz="8" w:space="0" w:color="563C80"/>
            </w:tcBorders>
          </w:tcPr>
          <w:p w14:paraId="04B1148A" w14:textId="77777777" w:rsidR="006F0DDB" w:rsidRDefault="00000000">
            <w:pPr>
              <w:spacing w:after="0" w:line="259" w:lineRule="auto"/>
              <w:ind w:left="47" w:right="0" w:firstLine="0"/>
              <w:jc w:val="center"/>
            </w:pPr>
            <w:r>
              <w:rPr>
                <w:rFonts w:ascii="Arial" w:eastAsia="Arial" w:hAnsi="Arial" w:cs="Arial"/>
                <w:sz w:val="18"/>
              </w:rPr>
              <w:t xml:space="preserve">76.0 </w:t>
            </w:r>
          </w:p>
        </w:tc>
      </w:tr>
      <w:tr w:rsidR="006F0DDB" w14:paraId="24339C10" w14:textId="77777777">
        <w:trPr>
          <w:trHeight w:val="322"/>
        </w:trPr>
        <w:tc>
          <w:tcPr>
            <w:tcW w:w="4500" w:type="dxa"/>
            <w:tcBorders>
              <w:top w:val="single" w:sz="4" w:space="0" w:color="563C80"/>
              <w:left w:val="single" w:sz="8" w:space="0" w:color="563C80"/>
              <w:bottom w:val="single" w:sz="4" w:space="0" w:color="563C80"/>
              <w:right w:val="single" w:sz="4" w:space="0" w:color="563C80"/>
            </w:tcBorders>
          </w:tcPr>
          <w:p w14:paraId="4085AE35" w14:textId="77777777" w:rsidR="006F0DDB" w:rsidRDefault="00000000">
            <w:pPr>
              <w:spacing w:after="0" w:line="259" w:lineRule="auto"/>
              <w:ind w:left="45" w:right="0" w:firstLine="0"/>
              <w:jc w:val="left"/>
            </w:pPr>
            <w:r>
              <w:rPr>
                <w:rFonts w:ascii="Arial" w:eastAsia="Arial" w:hAnsi="Arial" w:cs="Arial"/>
                <w:sz w:val="18"/>
              </w:rPr>
              <w:t>Male</w:t>
            </w:r>
          </w:p>
        </w:tc>
        <w:tc>
          <w:tcPr>
            <w:tcW w:w="2640" w:type="dxa"/>
            <w:tcBorders>
              <w:top w:val="single" w:sz="4" w:space="0" w:color="563C80"/>
              <w:left w:val="single" w:sz="4" w:space="0" w:color="563C80"/>
              <w:bottom w:val="single" w:sz="4" w:space="0" w:color="563C80"/>
              <w:right w:val="single" w:sz="4" w:space="0" w:color="563C80"/>
            </w:tcBorders>
          </w:tcPr>
          <w:p w14:paraId="6379018A" w14:textId="77777777" w:rsidR="006F0DDB" w:rsidRDefault="00000000">
            <w:pPr>
              <w:spacing w:after="0" w:line="259" w:lineRule="auto"/>
              <w:ind w:left="0" w:right="0" w:firstLine="0"/>
              <w:jc w:val="left"/>
            </w:pPr>
            <w:r>
              <w:rPr>
                <w:rFonts w:ascii="Arial" w:eastAsia="Arial" w:hAnsi="Arial" w:cs="Arial"/>
                <w:sz w:val="18"/>
              </w:rPr>
              <w:t xml:space="preserve">                67     </w:t>
            </w:r>
            <w:proofErr w:type="gramStart"/>
            <w:r>
              <w:rPr>
                <w:rFonts w:ascii="Arial" w:eastAsia="Arial" w:hAnsi="Arial" w:cs="Arial"/>
                <w:sz w:val="18"/>
              </w:rPr>
              <w:t xml:space="preserve">   (</w:t>
            </w:r>
            <w:proofErr w:type="gramEnd"/>
            <w:r>
              <w:rPr>
                <w:rFonts w:ascii="Arial" w:eastAsia="Arial" w:hAnsi="Arial" w:cs="Arial"/>
                <w:sz w:val="18"/>
              </w:rPr>
              <w:t xml:space="preserve">69.1) </w:t>
            </w:r>
          </w:p>
        </w:tc>
        <w:tc>
          <w:tcPr>
            <w:tcW w:w="2638" w:type="dxa"/>
            <w:tcBorders>
              <w:top w:val="single" w:sz="4" w:space="0" w:color="563C80"/>
              <w:left w:val="single" w:sz="4" w:space="0" w:color="563C80"/>
              <w:bottom w:val="single" w:sz="4" w:space="0" w:color="563C80"/>
              <w:right w:val="single" w:sz="8" w:space="0" w:color="563C80"/>
            </w:tcBorders>
          </w:tcPr>
          <w:p w14:paraId="343D069E" w14:textId="77777777" w:rsidR="006F0DDB" w:rsidRDefault="00000000">
            <w:pPr>
              <w:spacing w:after="0" w:line="259" w:lineRule="auto"/>
              <w:ind w:left="0" w:right="0" w:firstLine="0"/>
              <w:jc w:val="left"/>
            </w:pPr>
            <w:r>
              <w:rPr>
                <w:rFonts w:ascii="Arial" w:eastAsia="Arial" w:hAnsi="Arial" w:cs="Arial"/>
                <w:sz w:val="18"/>
              </w:rPr>
              <w:t xml:space="preserve">                69     </w:t>
            </w:r>
            <w:proofErr w:type="gramStart"/>
            <w:r>
              <w:rPr>
                <w:rFonts w:ascii="Arial" w:eastAsia="Arial" w:hAnsi="Arial" w:cs="Arial"/>
                <w:sz w:val="18"/>
              </w:rPr>
              <w:t xml:space="preserve">   (</w:t>
            </w:r>
            <w:proofErr w:type="gramEnd"/>
            <w:r>
              <w:rPr>
                <w:rFonts w:ascii="Arial" w:eastAsia="Arial" w:hAnsi="Arial" w:cs="Arial"/>
                <w:sz w:val="18"/>
              </w:rPr>
              <w:t xml:space="preserve">74.2) </w:t>
            </w:r>
          </w:p>
        </w:tc>
      </w:tr>
      <w:tr w:rsidR="006F0DDB" w14:paraId="477F0463" w14:textId="77777777">
        <w:trPr>
          <w:trHeight w:val="323"/>
        </w:trPr>
        <w:tc>
          <w:tcPr>
            <w:tcW w:w="4500" w:type="dxa"/>
            <w:tcBorders>
              <w:top w:val="single" w:sz="4" w:space="0" w:color="563C80"/>
              <w:left w:val="single" w:sz="8" w:space="0" w:color="563C80"/>
              <w:bottom w:val="single" w:sz="4" w:space="0" w:color="563C80"/>
              <w:right w:val="single" w:sz="4" w:space="0" w:color="563C80"/>
            </w:tcBorders>
          </w:tcPr>
          <w:p w14:paraId="6AF6E248" w14:textId="77777777" w:rsidR="006F0DDB" w:rsidRDefault="00000000">
            <w:pPr>
              <w:spacing w:after="0" w:line="259" w:lineRule="auto"/>
              <w:ind w:left="45" w:right="0" w:firstLine="0"/>
              <w:jc w:val="left"/>
            </w:pPr>
            <w:r>
              <w:rPr>
                <w:rFonts w:ascii="Arial" w:eastAsia="Arial" w:hAnsi="Arial" w:cs="Arial"/>
                <w:sz w:val="18"/>
              </w:rPr>
              <w:t>Female</w:t>
            </w:r>
          </w:p>
        </w:tc>
        <w:tc>
          <w:tcPr>
            <w:tcW w:w="2640" w:type="dxa"/>
            <w:tcBorders>
              <w:top w:val="single" w:sz="4" w:space="0" w:color="563C80"/>
              <w:left w:val="single" w:sz="4" w:space="0" w:color="563C80"/>
              <w:bottom w:val="single" w:sz="4" w:space="0" w:color="563C80"/>
              <w:right w:val="single" w:sz="4" w:space="0" w:color="563C80"/>
            </w:tcBorders>
          </w:tcPr>
          <w:p w14:paraId="1C53E782" w14:textId="77777777" w:rsidR="006F0DDB" w:rsidRDefault="00000000">
            <w:pPr>
              <w:spacing w:after="0" w:line="259" w:lineRule="auto"/>
              <w:ind w:left="0" w:right="0" w:firstLine="0"/>
              <w:jc w:val="left"/>
            </w:pPr>
            <w:r>
              <w:rPr>
                <w:rFonts w:ascii="Arial" w:eastAsia="Arial" w:hAnsi="Arial" w:cs="Arial"/>
                <w:sz w:val="18"/>
              </w:rPr>
              <w:t xml:space="preserve">                30     </w:t>
            </w:r>
            <w:proofErr w:type="gramStart"/>
            <w:r>
              <w:rPr>
                <w:rFonts w:ascii="Arial" w:eastAsia="Arial" w:hAnsi="Arial" w:cs="Arial"/>
                <w:sz w:val="18"/>
              </w:rPr>
              <w:t xml:space="preserve">   (</w:t>
            </w:r>
            <w:proofErr w:type="gramEnd"/>
            <w:r>
              <w:rPr>
                <w:rFonts w:ascii="Arial" w:eastAsia="Arial" w:hAnsi="Arial" w:cs="Arial"/>
                <w:sz w:val="18"/>
              </w:rPr>
              <w:t xml:space="preserve">30.9) </w:t>
            </w:r>
          </w:p>
        </w:tc>
        <w:tc>
          <w:tcPr>
            <w:tcW w:w="2638" w:type="dxa"/>
            <w:tcBorders>
              <w:top w:val="single" w:sz="4" w:space="0" w:color="563C80"/>
              <w:left w:val="single" w:sz="4" w:space="0" w:color="563C80"/>
              <w:bottom w:val="single" w:sz="4" w:space="0" w:color="563C80"/>
              <w:right w:val="single" w:sz="8" w:space="0" w:color="563C80"/>
            </w:tcBorders>
          </w:tcPr>
          <w:p w14:paraId="59E529BC" w14:textId="77777777" w:rsidR="006F0DDB" w:rsidRDefault="00000000">
            <w:pPr>
              <w:spacing w:after="0" w:line="259" w:lineRule="auto"/>
              <w:ind w:left="0" w:right="0" w:firstLine="0"/>
              <w:jc w:val="left"/>
            </w:pPr>
            <w:r>
              <w:rPr>
                <w:rFonts w:ascii="Arial" w:eastAsia="Arial" w:hAnsi="Arial" w:cs="Arial"/>
                <w:sz w:val="18"/>
              </w:rPr>
              <w:t xml:space="preserve">                24     </w:t>
            </w:r>
            <w:proofErr w:type="gramStart"/>
            <w:r>
              <w:rPr>
                <w:rFonts w:ascii="Arial" w:eastAsia="Arial" w:hAnsi="Arial" w:cs="Arial"/>
                <w:sz w:val="18"/>
              </w:rPr>
              <w:t xml:space="preserve">   (</w:t>
            </w:r>
            <w:proofErr w:type="gramEnd"/>
            <w:r>
              <w:rPr>
                <w:rFonts w:ascii="Arial" w:eastAsia="Arial" w:hAnsi="Arial" w:cs="Arial"/>
                <w:sz w:val="18"/>
              </w:rPr>
              <w:t xml:space="preserve">25.8) </w:t>
            </w:r>
          </w:p>
        </w:tc>
      </w:tr>
      <w:tr w:rsidR="006F0DDB" w14:paraId="072E9E72" w14:textId="77777777">
        <w:trPr>
          <w:trHeight w:val="319"/>
        </w:trPr>
        <w:tc>
          <w:tcPr>
            <w:tcW w:w="4500" w:type="dxa"/>
            <w:tcBorders>
              <w:top w:val="single" w:sz="4" w:space="0" w:color="563C80"/>
              <w:left w:val="single" w:sz="8" w:space="0" w:color="563C80"/>
              <w:bottom w:val="single" w:sz="4" w:space="0" w:color="563C80"/>
              <w:right w:val="nil"/>
            </w:tcBorders>
            <w:shd w:val="clear" w:color="auto" w:fill="C9C9C9"/>
          </w:tcPr>
          <w:p w14:paraId="6ED823CD" w14:textId="77777777" w:rsidR="006F0DDB" w:rsidRDefault="00000000">
            <w:pPr>
              <w:spacing w:after="0" w:line="259" w:lineRule="auto"/>
              <w:ind w:left="45" w:right="0" w:firstLine="0"/>
              <w:jc w:val="left"/>
            </w:pPr>
            <w:r>
              <w:rPr>
                <w:rFonts w:ascii="Arial" w:eastAsia="Arial" w:hAnsi="Arial" w:cs="Arial"/>
                <w:sz w:val="18"/>
              </w:rPr>
              <w:t>Ethnicity</w:t>
            </w:r>
          </w:p>
        </w:tc>
        <w:tc>
          <w:tcPr>
            <w:tcW w:w="2640" w:type="dxa"/>
            <w:tcBorders>
              <w:top w:val="single" w:sz="4" w:space="0" w:color="563C80"/>
              <w:left w:val="nil"/>
              <w:bottom w:val="single" w:sz="4" w:space="0" w:color="563C80"/>
              <w:right w:val="nil"/>
            </w:tcBorders>
            <w:shd w:val="clear" w:color="auto" w:fill="C9C9C9"/>
          </w:tcPr>
          <w:p w14:paraId="74E26781" w14:textId="77777777" w:rsidR="006F0DDB" w:rsidRDefault="006F0DDB">
            <w:pPr>
              <w:spacing w:after="160" w:line="259" w:lineRule="auto"/>
              <w:ind w:left="0" w:right="0" w:firstLine="0"/>
              <w:jc w:val="left"/>
            </w:pPr>
          </w:p>
        </w:tc>
        <w:tc>
          <w:tcPr>
            <w:tcW w:w="2638" w:type="dxa"/>
            <w:tcBorders>
              <w:top w:val="single" w:sz="4" w:space="0" w:color="563C80"/>
              <w:left w:val="nil"/>
              <w:bottom w:val="single" w:sz="4" w:space="0" w:color="563C80"/>
              <w:right w:val="single" w:sz="8" w:space="0" w:color="563C80"/>
            </w:tcBorders>
            <w:shd w:val="clear" w:color="auto" w:fill="C9C9C9"/>
          </w:tcPr>
          <w:p w14:paraId="2CA9BFC4" w14:textId="77777777" w:rsidR="006F0DDB" w:rsidRDefault="006F0DDB">
            <w:pPr>
              <w:spacing w:after="160" w:line="259" w:lineRule="auto"/>
              <w:ind w:left="0" w:right="0" w:firstLine="0"/>
              <w:jc w:val="left"/>
            </w:pPr>
          </w:p>
        </w:tc>
      </w:tr>
      <w:tr w:rsidR="006F0DDB" w14:paraId="21250C7D"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22811F88" w14:textId="77777777" w:rsidR="006F0DDB" w:rsidRDefault="00000000">
            <w:pPr>
              <w:spacing w:after="0" w:line="259" w:lineRule="auto"/>
              <w:ind w:left="285" w:right="0" w:firstLine="0"/>
              <w:jc w:val="left"/>
            </w:pPr>
            <w:r>
              <w:rPr>
                <w:rFonts w:ascii="Arial" w:eastAsia="Arial" w:hAnsi="Arial" w:cs="Arial"/>
                <w:sz w:val="18"/>
              </w:rPr>
              <w:t>American Indian</w:t>
            </w:r>
          </w:p>
        </w:tc>
        <w:tc>
          <w:tcPr>
            <w:tcW w:w="2640" w:type="dxa"/>
            <w:tcBorders>
              <w:top w:val="single" w:sz="4" w:space="0" w:color="563C80"/>
              <w:left w:val="single" w:sz="4" w:space="0" w:color="563C80"/>
              <w:bottom w:val="single" w:sz="4" w:space="0" w:color="563C80"/>
              <w:right w:val="single" w:sz="4" w:space="0" w:color="563C80"/>
            </w:tcBorders>
          </w:tcPr>
          <w:p w14:paraId="4EA36D03"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1.0%) </w:t>
            </w:r>
          </w:p>
        </w:tc>
        <w:tc>
          <w:tcPr>
            <w:tcW w:w="2638" w:type="dxa"/>
            <w:tcBorders>
              <w:top w:val="single" w:sz="4" w:space="0" w:color="563C80"/>
              <w:left w:val="single" w:sz="4" w:space="0" w:color="563C80"/>
              <w:bottom w:val="single" w:sz="4" w:space="0" w:color="563C80"/>
              <w:right w:val="single" w:sz="8" w:space="0" w:color="563C80"/>
            </w:tcBorders>
          </w:tcPr>
          <w:p w14:paraId="6E99E64D" w14:textId="77777777" w:rsidR="006F0DDB" w:rsidRDefault="00000000">
            <w:pPr>
              <w:spacing w:after="0" w:line="259" w:lineRule="auto"/>
              <w:ind w:left="2" w:right="0" w:firstLine="0"/>
              <w:jc w:val="left"/>
            </w:pPr>
            <w:r>
              <w:rPr>
                <w:rFonts w:ascii="Arial" w:eastAsia="Arial" w:hAnsi="Arial" w:cs="Arial"/>
                <w:sz w:val="18"/>
              </w:rPr>
              <w:t xml:space="preserve">                  0   </w:t>
            </w:r>
            <w:proofErr w:type="gramStart"/>
            <w:r>
              <w:rPr>
                <w:rFonts w:ascii="Arial" w:eastAsia="Arial" w:hAnsi="Arial" w:cs="Arial"/>
                <w:sz w:val="18"/>
              </w:rPr>
              <w:t xml:space="preserve">   (</w:t>
            </w:r>
            <w:proofErr w:type="gramEnd"/>
            <w:r>
              <w:rPr>
                <w:rFonts w:ascii="Arial" w:eastAsia="Arial" w:hAnsi="Arial" w:cs="Arial"/>
                <w:sz w:val="18"/>
              </w:rPr>
              <w:t xml:space="preserve">0.0%) </w:t>
            </w:r>
          </w:p>
        </w:tc>
      </w:tr>
      <w:tr w:rsidR="006F0DDB" w14:paraId="69C03926"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255CDC45" w14:textId="77777777" w:rsidR="006F0DDB" w:rsidRDefault="00000000">
            <w:pPr>
              <w:spacing w:after="0" w:line="259" w:lineRule="auto"/>
              <w:ind w:left="285" w:right="0" w:firstLine="0"/>
              <w:jc w:val="left"/>
            </w:pPr>
            <w:r>
              <w:rPr>
                <w:rFonts w:ascii="Arial" w:eastAsia="Arial" w:hAnsi="Arial" w:cs="Arial"/>
                <w:sz w:val="18"/>
              </w:rPr>
              <w:t>Asian</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767B1A21"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1.0%)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6BA666BC" w14:textId="77777777" w:rsidR="006F0DDB" w:rsidRDefault="00000000">
            <w:pPr>
              <w:spacing w:after="0" w:line="259" w:lineRule="auto"/>
              <w:ind w:left="2" w:right="0" w:firstLine="0"/>
              <w:jc w:val="left"/>
            </w:pPr>
            <w:r>
              <w:rPr>
                <w:rFonts w:ascii="Arial" w:eastAsia="Arial" w:hAnsi="Arial" w:cs="Arial"/>
                <w:sz w:val="18"/>
              </w:rPr>
              <w:t xml:space="preserve">                  0   </w:t>
            </w:r>
            <w:proofErr w:type="gramStart"/>
            <w:r>
              <w:rPr>
                <w:rFonts w:ascii="Arial" w:eastAsia="Arial" w:hAnsi="Arial" w:cs="Arial"/>
                <w:sz w:val="18"/>
              </w:rPr>
              <w:t xml:space="preserve">   (</w:t>
            </w:r>
            <w:proofErr w:type="gramEnd"/>
            <w:r>
              <w:rPr>
                <w:rFonts w:ascii="Arial" w:eastAsia="Arial" w:hAnsi="Arial" w:cs="Arial"/>
                <w:sz w:val="18"/>
              </w:rPr>
              <w:t xml:space="preserve">0.0%) </w:t>
            </w:r>
          </w:p>
        </w:tc>
      </w:tr>
      <w:tr w:rsidR="006F0DDB" w14:paraId="69CABCC2"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0E5D5494" w14:textId="77777777" w:rsidR="006F0DDB" w:rsidRDefault="00000000">
            <w:pPr>
              <w:spacing w:after="0" w:line="259" w:lineRule="auto"/>
              <w:ind w:left="285" w:right="0" w:firstLine="0"/>
              <w:jc w:val="left"/>
            </w:pPr>
            <w:r>
              <w:rPr>
                <w:rFonts w:ascii="Arial" w:eastAsia="Arial" w:hAnsi="Arial" w:cs="Arial"/>
                <w:sz w:val="18"/>
              </w:rPr>
              <w:t>Black</w:t>
            </w:r>
          </w:p>
        </w:tc>
        <w:tc>
          <w:tcPr>
            <w:tcW w:w="2640" w:type="dxa"/>
            <w:tcBorders>
              <w:top w:val="single" w:sz="4" w:space="0" w:color="563C80"/>
              <w:left w:val="single" w:sz="4" w:space="0" w:color="563C80"/>
              <w:bottom w:val="single" w:sz="4" w:space="0" w:color="563C80"/>
              <w:right w:val="single" w:sz="4" w:space="0" w:color="563C80"/>
            </w:tcBorders>
          </w:tcPr>
          <w:p w14:paraId="2D826937" w14:textId="77777777" w:rsidR="006F0DDB" w:rsidRDefault="00000000">
            <w:pPr>
              <w:spacing w:after="0" w:line="259" w:lineRule="auto"/>
              <w:ind w:left="0" w:right="0" w:firstLine="0"/>
              <w:jc w:val="left"/>
            </w:pPr>
            <w:r>
              <w:rPr>
                <w:rFonts w:ascii="Arial" w:eastAsia="Arial" w:hAnsi="Arial" w:cs="Arial"/>
                <w:sz w:val="18"/>
              </w:rPr>
              <w:t xml:space="preserve">                34 </w:t>
            </w:r>
            <w:proofErr w:type="gramStart"/>
            <w:r>
              <w:rPr>
                <w:rFonts w:ascii="Arial" w:eastAsia="Arial" w:hAnsi="Arial" w:cs="Arial"/>
                <w:sz w:val="18"/>
              </w:rPr>
              <w:t xml:space="preserve">   (</w:t>
            </w:r>
            <w:proofErr w:type="gramEnd"/>
            <w:r>
              <w:rPr>
                <w:rFonts w:ascii="Arial" w:eastAsia="Arial" w:hAnsi="Arial" w:cs="Arial"/>
                <w:sz w:val="18"/>
              </w:rPr>
              <w:t xml:space="preserve">35.4%) </w:t>
            </w:r>
          </w:p>
        </w:tc>
        <w:tc>
          <w:tcPr>
            <w:tcW w:w="2638" w:type="dxa"/>
            <w:tcBorders>
              <w:top w:val="single" w:sz="4" w:space="0" w:color="563C80"/>
              <w:left w:val="single" w:sz="4" w:space="0" w:color="563C80"/>
              <w:bottom w:val="single" w:sz="4" w:space="0" w:color="563C80"/>
              <w:right w:val="single" w:sz="8" w:space="0" w:color="563C80"/>
            </w:tcBorders>
          </w:tcPr>
          <w:p w14:paraId="7F0B2656" w14:textId="77777777" w:rsidR="006F0DDB" w:rsidRDefault="00000000">
            <w:pPr>
              <w:spacing w:after="0" w:line="259" w:lineRule="auto"/>
              <w:ind w:left="2" w:right="0" w:firstLine="0"/>
              <w:jc w:val="left"/>
            </w:pPr>
            <w:r>
              <w:rPr>
                <w:rFonts w:ascii="Arial" w:eastAsia="Arial" w:hAnsi="Arial" w:cs="Arial"/>
                <w:sz w:val="18"/>
              </w:rPr>
              <w:t xml:space="preserve">                  3   </w:t>
            </w:r>
            <w:proofErr w:type="gramStart"/>
            <w:r>
              <w:rPr>
                <w:rFonts w:ascii="Arial" w:eastAsia="Arial" w:hAnsi="Arial" w:cs="Arial"/>
                <w:sz w:val="18"/>
              </w:rPr>
              <w:t xml:space="preserve">   (</w:t>
            </w:r>
            <w:proofErr w:type="gramEnd"/>
            <w:r>
              <w:rPr>
                <w:rFonts w:ascii="Arial" w:eastAsia="Arial" w:hAnsi="Arial" w:cs="Arial"/>
                <w:sz w:val="18"/>
              </w:rPr>
              <w:t xml:space="preserve">3.2%) </w:t>
            </w:r>
          </w:p>
        </w:tc>
      </w:tr>
      <w:tr w:rsidR="006F0DDB" w14:paraId="12EBB3E5"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21B840B6" w14:textId="77777777" w:rsidR="006F0DDB" w:rsidRDefault="00000000">
            <w:pPr>
              <w:spacing w:after="0" w:line="259" w:lineRule="auto"/>
              <w:ind w:left="285" w:right="0" w:firstLine="0"/>
              <w:jc w:val="left"/>
            </w:pPr>
            <w:r>
              <w:rPr>
                <w:rFonts w:ascii="Arial" w:eastAsia="Arial" w:hAnsi="Arial" w:cs="Arial"/>
                <w:sz w:val="18"/>
              </w:rPr>
              <w:t>White</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34973E9D" w14:textId="77777777" w:rsidR="006F0DDB" w:rsidRDefault="00000000">
            <w:pPr>
              <w:spacing w:after="0" w:line="259" w:lineRule="auto"/>
              <w:ind w:left="0" w:right="0" w:firstLine="0"/>
              <w:jc w:val="left"/>
            </w:pPr>
            <w:r>
              <w:rPr>
                <w:rFonts w:ascii="Arial" w:eastAsia="Arial" w:hAnsi="Arial" w:cs="Arial"/>
                <w:sz w:val="18"/>
              </w:rPr>
              <w:t xml:space="preserve">                56 </w:t>
            </w:r>
            <w:proofErr w:type="gramStart"/>
            <w:r>
              <w:rPr>
                <w:rFonts w:ascii="Arial" w:eastAsia="Arial" w:hAnsi="Arial" w:cs="Arial"/>
                <w:sz w:val="18"/>
              </w:rPr>
              <w:t xml:space="preserve">   (</w:t>
            </w:r>
            <w:proofErr w:type="gramEnd"/>
            <w:r>
              <w:rPr>
                <w:rFonts w:ascii="Arial" w:eastAsia="Arial" w:hAnsi="Arial" w:cs="Arial"/>
                <w:sz w:val="18"/>
              </w:rPr>
              <w:t xml:space="preserve">58.3%)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2949E53A" w14:textId="77777777" w:rsidR="006F0DDB" w:rsidRDefault="00000000">
            <w:pPr>
              <w:spacing w:after="0" w:line="259" w:lineRule="auto"/>
              <w:ind w:left="0" w:right="0" w:firstLine="0"/>
              <w:jc w:val="left"/>
            </w:pPr>
            <w:r>
              <w:rPr>
                <w:rFonts w:ascii="Arial" w:eastAsia="Arial" w:hAnsi="Arial" w:cs="Arial"/>
                <w:sz w:val="18"/>
              </w:rPr>
              <w:t xml:space="preserve">                80 </w:t>
            </w:r>
            <w:proofErr w:type="gramStart"/>
            <w:r>
              <w:rPr>
                <w:rFonts w:ascii="Arial" w:eastAsia="Arial" w:hAnsi="Arial" w:cs="Arial"/>
                <w:sz w:val="18"/>
              </w:rPr>
              <w:t xml:space="preserve">   (</w:t>
            </w:r>
            <w:proofErr w:type="gramEnd"/>
            <w:r>
              <w:rPr>
                <w:rFonts w:ascii="Arial" w:eastAsia="Arial" w:hAnsi="Arial" w:cs="Arial"/>
                <w:sz w:val="18"/>
              </w:rPr>
              <w:t xml:space="preserve">86.0%) </w:t>
            </w:r>
          </w:p>
        </w:tc>
      </w:tr>
      <w:tr w:rsidR="006F0DDB" w14:paraId="6FCF322D"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77611927" w14:textId="77777777" w:rsidR="006F0DDB" w:rsidRDefault="00000000">
            <w:pPr>
              <w:spacing w:after="0" w:line="259" w:lineRule="auto"/>
              <w:ind w:left="285" w:right="0" w:firstLine="0"/>
              <w:jc w:val="left"/>
            </w:pPr>
            <w:r>
              <w:rPr>
                <w:rFonts w:ascii="Arial" w:eastAsia="Arial" w:hAnsi="Arial" w:cs="Arial"/>
                <w:sz w:val="18"/>
              </w:rPr>
              <w:t xml:space="preserve">Other or </w:t>
            </w:r>
            <w:proofErr w:type="gramStart"/>
            <w:r>
              <w:rPr>
                <w:rFonts w:ascii="Arial" w:eastAsia="Arial" w:hAnsi="Arial" w:cs="Arial"/>
                <w:sz w:val="18"/>
              </w:rPr>
              <w:t>Declined</w:t>
            </w:r>
            <w:proofErr w:type="gramEnd"/>
          </w:p>
        </w:tc>
        <w:tc>
          <w:tcPr>
            <w:tcW w:w="2640" w:type="dxa"/>
            <w:tcBorders>
              <w:top w:val="single" w:sz="4" w:space="0" w:color="563C80"/>
              <w:left w:val="single" w:sz="4" w:space="0" w:color="563C80"/>
              <w:bottom w:val="single" w:sz="4" w:space="0" w:color="563C80"/>
              <w:right w:val="single" w:sz="4" w:space="0" w:color="563C80"/>
            </w:tcBorders>
          </w:tcPr>
          <w:p w14:paraId="630ED983" w14:textId="77777777" w:rsidR="006F0DDB" w:rsidRDefault="00000000">
            <w:pPr>
              <w:spacing w:after="0" w:line="259" w:lineRule="auto"/>
              <w:ind w:left="2" w:right="0" w:firstLine="0"/>
              <w:jc w:val="left"/>
            </w:pPr>
            <w:r>
              <w:rPr>
                <w:rFonts w:ascii="Arial" w:eastAsia="Arial" w:hAnsi="Arial" w:cs="Arial"/>
                <w:sz w:val="18"/>
              </w:rPr>
              <w:t xml:space="preserve">                  4   </w:t>
            </w:r>
            <w:proofErr w:type="gramStart"/>
            <w:r>
              <w:rPr>
                <w:rFonts w:ascii="Arial" w:eastAsia="Arial" w:hAnsi="Arial" w:cs="Arial"/>
                <w:sz w:val="18"/>
              </w:rPr>
              <w:t xml:space="preserve">   (</w:t>
            </w:r>
            <w:proofErr w:type="gramEnd"/>
            <w:r>
              <w:rPr>
                <w:rFonts w:ascii="Arial" w:eastAsia="Arial" w:hAnsi="Arial" w:cs="Arial"/>
                <w:sz w:val="18"/>
              </w:rPr>
              <w:t xml:space="preserve">4.2%) </w:t>
            </w:r>
          </w:p>
        </w:tc>
        <w:tc>
          <w:tcPr>
            <w:tcW w:w="2638" w:type="dxa"/>
            <w:tcBorders>
              <w:top w:val="single" w:sz="4" w:space="0" w:color="563C80"/>
              <w:left w:val="single" w:sz="4" w:space="0" w:color="563C80"/>
              <w:bottom w:val="single" w:sz="4" w:space="0" w:color="563C80"/>
              <w:right w:val="single" w:sz="8" w:space="0" w:color="563C80"/>
            </w:tcBorders>
          </w:tcPr>
          <w:p w14:paraId="4BBB699B" w14:textId="77777777" w:rsidR="006F0DDB" w:rsidRDefault="00000000">
            <w:pPr>
              <w:spacing w:after="0" w:line="259" w:lineRule="auto"/>
              <w:ind w:left="0" w:right="0" w:firstLine="0"/>
              <w:jc w:val="left"/>
            </w:pPr>
            <w:r>
              <w:rPr>
                <w:rFonts w:ascii="Arial" w:eastAsia="Arial" w:hAnsi="Arial" w:cs="Arial"/>
                <w:sz w:val="18"/>
              </w:rPr>
              <w:t xml:space="preserve">                10 </w:t>
            </w:r>
            <w:proofErr w:type="gramStart"/>
            <w:r>
              <w:rPr>
                <w:rFonts w:ascii="Arial" w:eastAsia="Arial" w:hAnsi="Arial" w:cs="Arial"/>
                <w:sz w:val="18"/>
              </w:rPr>
              <w:t xml:space="preserve">   (</w:t>
            </w:r>
            <w:proofErr w:type="gramEnd"/>
            <w:r>
              <w:rPr>
                <w:rFonts w:ascii="Arial" w:eastAsia="Arial" w:hAnsi="Arial" w:cs="Arial"/>
                <w:sz w:val="18"/>
              </w:rPr>
              <w:t xml:space="preserve">10.8%) </w:t>
            </w:r>
          </w:p>
        </w:tc>
      </w:tr>
      <w:tr w:rsidR="006F0DDB" w14:paraId="161B4D3E" w14:textId="77777777">
        <w:trPr>
          <w:trHeight w:val="319"/>
        </w:trPr>
        <w:tc>
          <w:tcPr>
            <w:tcW w:w="4500" w:type="dxa"/>
            <w:tcBorders>
              <w:top w:val="single" w:sz="4" w:space="0" w:color="563C80"/>
              <w:left w:val="single" w:sz="8" w:space="0" w:color="563C80"/>
              <w:bottom w:val="single" w:sz="4" w:space="0" w:color="563C80"/>
              <w:right w:val="nil"/>
            </w:tcBorders>
            <w:shd w:val="clear" w:color="auto" w:fill="C9C9C9"/>
          </w:tcPr>
          <w:p w14:paraId="7AC4E480" w14:textId="77777777" w:rsidR="006F0DDB" w:rsidRDefault="00000000">
            <w:pPr>
              <w:spacing w:after="0" w:line="259" w:lineRule="auto"/>
              <w:ind w:left="45" w:right="0" w:firstLine="0"/>
              <w:jc w:val="left"/>
            </w:pPr>
            <w:r>
              <w:rPr>
                <w:rFonts w:ascii="Arial" w:eastAsia="Arial" w:hAnsi="Arial" w:cs="Arial"/>
                <w:sz w:val="18"/>
              </w:rPr>
              <w:t xml:space="preserve">Reason for Catheter </w:t>
            </w:r>
          </w:p>
        </w:tc>
        <w:tc>
          <w:tcPr>
            <w:tcW w:w="2640" w:type="dxa"/>
            <w:tcBorders>
              <w:top w:val="single" w:sz="4" w:space="0" w:color="563C80"/>
              <w:left w:val="nil"/>
              <w:bottom w:val="single" w:sz="4" w:space="0" w:color="563C80"/>
              <w:right w:val="nil"/>
            </w:tcBorders>
            <w:shd w:val="clear" w:color="auto" w:fill="C9C9C9"/>
          </w:tcPr>
          <w:p w14:paraId="6E7F01F3" w14:textId="77777777" w:rsidR="006F0DDB" w:rsidRDefault="006F0DDB">
            <w:pPr>
              <w:spacing w:after="160" w:line="259" w:lineRule="auto"/>
              <w:ind w:left="0" w:right="0" w:firstLine="0"/>
              <w:jc w:val="left"/>
            </w:pPr>
          </w:p>
        </w:tc>
        <w:tc>
          <w:tcPr>
            <w:tcW w:w="2638" w:type="dxa"/>
            <w:tcBorders>
              <w:top w:val="single" w:sz="4" w:space="0" w:color="563C80"/>
              <w:left w:val="nil"/>
              <w:bottom w:val="single" w:sz="4" w:space="0" w:color="563C80"/>
              <w:right w:val="single" w:sz="8" w:space="0" w:color="563C80"/>
            </w:tcBorders>
            <w:shd w:val="clear" w:color="auto" w:fill="C9C9C9"/>
          </w:tcPr>
          <w:p w14:paraId="197AC66F" w14:textId="77777777" w:rsidR="006F0DDB" w:rsidRDefault="006F0DDB">
            <w:pPr>
              <w:spacing w:after="160" w:line="259" w:lineRule="auto"/>
              <w:ind w:left="0" w:right="0" w:firstLine="0"/>
              <w:jc w:val="left"/>
            </w:pPr>
          </w:p>
        </w:tc>
      </w:tr>
      <w:tr w:rsidR="006F0DDB" w14:paraId="0028248F"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306F10DA" w14:textId="77777777" w:rsidR="006F0DDB" w:rsidRDefault="00000000">
            <w:pPr>
              <w:spacing w:after="0" w:line="259" w:lineRule="auto"/>
              <w:ind w:left="285" w:right="0" w:firstLine="0"/>
              <w:jc w:val="left"/>
            </w:pPr>
            <w:r>
              <w:rPr>
                <w:rFonts w:ascii="Arial" w:eastAsia="Arial" w:hAnsi="Arial" w:cs="Arial"/>
                <w:sz w:val="18"/>
              </w:rPr>
              <w:t>Urethral stricture</w:t>
            </w:r>
          </w:p>
        </w:tc>
        <w:tc>
          <w:tcPr>
            <w:tcW w:w="2640" w:type="dxa"/>
            <w:tcBorders>
              <w:top w:val="single" w:sz="4" w:space="0" w:color="563C80"/>
              <w:left w:val="single" w:sz="4" w:space="0" w:color="563C80"/>
              <w:bottom w:val="single" w:sz="4" w:space="0" w:color="563C80"/>
              <w:right w:val="single" w:sz="4" w:space="0" w:color="563C80"/>
            </w:tcBorders>
          </w:tcPr>
          <w:p w14:paraId="2FE6400E" w14:textId="77777777" w:rsidR="006F0DDB" w:rsidRDefault="00000000">
            <w:pPr>
              <w:spacing w:after="0" w:line="259" w:lineRule="auto"/>
              <w:ind w:left="2" w:right="0" w:firstLine="0"/>
              <w:jc w:val="left"/>
            </w:pPr>
            <w:r>
              <w:rPr>
                <w:rFonts w:ascii="Arial" w:eastAsia="Arial" w:hAnsi="Arial" w:cs="Arial"/>
                <w:sz w:val="18"/>
              </w:rPr>
              <w:t xml:space="preserve">                  8   </w:t>
            </w:r>
            <w:proofErr w:type="gramStart"/>
            <w:r>
              <w:rPr>
                <w:rFonts w:ascii="Arial" w:eastAsia="Arial" w:hAnsi="Arial" w:cs="Arial"/>
                <w:sz w:val="18"/>
              </w:rPr>
              <w:t xml:space="preserve">   (</w:t>
            </w:r>
            <w:proofErr w:type="gramEnd"/>
            <w:r>
              <w:rPr>
                <w:rFonts w:ascii="Arial" w:eastAsia="Arial" w:hAnsi="Arial" w:cs="Arial"/>
                <w:sz w:val="18"/>
              </w:rPr>
              <w:t xml:space="preserve">8.9%) </w:t>
            </w:r>
          </w:p>
        </w:tc>
        <w:tc>
          <w:tcPr>
            <w:tcW w:w="2638" w:type="dxa"/>
            <w:tcBorders>
              <w:top w:val="single" w:sz="4" w:space="0" w:color="563C80"/>
              <w:left w:val="single" w:sz="4" w:space="0" w:color="563C80"/>
              <w:bottom w:val="single" w:sz="4" w:space="0" w:color="563C80"/>
              <w:right w:val="single" w:sz="8" w:space="0" w:color="563C80"/>
            </w:tcBorders>
          </w:tcPr>
          <w:p w14:paraId="2F343027" w14:textId="77777777" w:rsidR="006F0DDB" w:rsidRDefault="00000000">
            <w:pPr>
              <w:spacing w:after="0" w:line="259" w:lineRule="auto"/>
              <w:ind w:left="2" w:right="0" w:firstLine="0"/>
              <w:jc w:val="left"/>
            </w:pPr>
            <w:r>
              <w:rPr>
                <w:rFonts w:ascii="Arial" w:eastAsia="Arial" w:hAnsi="Arial" w:cs="Arial"/>
                <w:sz w:val="18"/>
              </w:rPr>
              <w:t xml:space="preserve">                  0   </w:t>
            </w:r>
            <w:proofErr w:type="gramStart"/>
            <w:r>
              <w:rPr>
                <w:rFonts w:ascii="Arial" w:eastAsia="Arial" w:hAnsi="Arial" w:cs="Arial"/>
                <w:sz w:val="18"/>
              </w:rPr>
              <w:t xml:space="preserve">   (</w:t>
            </w:r>
            <w:proofErr w:type="gramEnd"/>
            <w:r>
              <w:rPr>
                <w:rFonts w:ascii="Arial" w:eastAsia="Arial" w:hAnsi="Arial" w:cs="Arial"/>
                <w:sz w:val="18"/>
              </w:rPr>
              <w:t xml:space="preserve">0.0%) </w:t>
            </w:r>
          </w:p>
        </w:tc>
      </w:tr>
      <w:tr w:rsidR="006F0DDB" w14:paraId="3B8B620C"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1F0F3401" w14:textId="77777777" w:rsidR="006F0DDB" w:rsidRDefault="00000000">
            <w:pPr>
              <w:spacing w:after="0" w:line="259" w:lineRule="auto"/>
              <w:ind w:left="285" w:right="0" w:firstLine="0"/>
              <w:jc w:val="left"/>
            </w:pPr>
            <w:r>
              <w:rPr>
                <w:rFonts w:ascii="Arial" w:eastAsia="Arial" w:hAnsi="Arial" w:cs="Arial"/>
                <w:sz w:val="18"/>
              </w:rPr>
              <w:t>Urethral obstruction</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254ACABB" w14:textId="77777777" w:rsidR="006F0DDB" w:rsidRDefault="00000000">
            <w:pPr>
              <w:spacing w:after="0" w:line="259" w:lineRule="auto"/>
              <w:ind w:left="2" w:right="0" w:firstLine="0"/>
              <w:jc w:val="left"/>
            </w:pPr>
            <w:r>
              <w:rPr>
                <w:rFonts w:ascii="Arial" w:eastAsia="Arial" w:hAnsi="Arial" w:cs="Arial"/>
                <w:sz w:val="18"/>
              </w:rPr>
              <w:t xml:space="preserve">                  2   </w:t>
            </w:r>
            <w:proofErr w:type="gramStart"/>
            <w:r>
              <w:rPr>
                <w:rFonts w:ascii="Arial" w:eastAsia="Arial" w:hAnsi="Arial" w:cs="Arial"/>
                <w:sz w:val="18"/>
              </w:rPr>
              <w:t xml:space="preserve">   (</w:t>
            </w:r>
            <w:proofErr w:type="gramEnd"/>
            <w:r>
              <w:rPr>
                <w:rFonts w:ascii="Arial" w:eastAsia="Arial" w:hAnsi="Arial" w:cs="Arial"/>
                <w:sz w:val="18"/>
              </w:rPr>
              <w:t xml:space="preserve">2.2%)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41502AEB" w14:textId="77777777" w:rsidR="006F0DDB" w:rsidRDefault="00000000">
            <w:pPr>
              <w:spacing w:after="0" w:line="259" w:lineRule="auto"/>
              <w:ind w:left="2" w:right="0" w:firstLine="0"/>
              <w:jc w:val="left"/>
            </w:pPr>
            <w:r>
              <w:rPr>
                <w:rFonts w:ascii="Arial" w:eastAsia="Arial" w:hAnsi="Arial" w:cs="Arial"/>
                <w:sz w:val="18"/>
              </w:rPr>
              <w:t xml:space="preserve">                  0   </w:t>
            </w:r>
            <w:proofErr w:type="gramStart"/>
            <w:r>
              <w:rPr>
                <w:rFonts w:ascii="Arial" w:eastAsia="Arial" w:hAnsi="Arial" w:cs="Arial"/>
                <w:sz w:val="18"/>
              </w:rPr>
              <w:t xml:space="preserve">   (</w:t>
            </w:r>
            <w:proofErr w:type="gramEnd"/>
            <w:r>
              <w:rPr>
                <w:rFonts w:ascii="Arial" w:eastAsia="Arial" w:hAnsi="Arial" w:cs="Arial"/>
                <w:sz w:val="18"/>
              </w:rPr>
              <w:t xml:space="preserve">0.0%) </w:t>
            </w:r>
          </w:p>
        </w:tc>
      </w:tr>
      <w:tr w:rsidR="006F0DDB" w14:paraId="7DB76AB6"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6D3D36AE" w14:textId="77777777" w:rsidR="006F0DDB" w:rsidRDefault="00000000">
            <w:pPr>
              <w:spacing w:after="0" w:line="259" w:lineRule="auto"/>
              <w:ind w:left="285" w:right="0" w:firstLine="0"/>
              <w:jc w:val="left"/>
            </w:pPr>
            <w:r>
              <w:rPr>
                <w:rFonts w:ascii="Arial" w:eastAsia="Arial" w:hAnsi="Arial" w:cs="Arial"/>
                <w:sz w:val="18"/>
              </w:rPr>
              <w:t>Augmented bladder/neobladder</w:t>
            </w:r>
          </w:p>
        </w:tc>
        <w:tc>
          <w:tcPr>
            <w:tcW w:w="2640" w:type="dxa"/>
            <w:tcBorders>
              <w:top w:val="single" w:sz="4" w:space="0" w:color="563C80"/>
              <w:left w:val="single" w:sz="4" w:space="0" w:color="563C80"/>
              <w:bottom w:val="single" w:sz="4" w:space="0" w:color="563C80"/>
              <w:right w:val="single" w:sz="4" w:space="0" w:color="563C80"/>
            </w:tcBorders>
          </w:tcPr>
          <w:p w14:paraId="6067A69F"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1.1%) </w:t>
            </w:r>
          </w:p>
        </w:tc>
        <w:tc>
          <w:tcPr>
            <w:tcW w:w="2638" w:type="dxa"/>
            <w:tcBorders>
              <w:top w:val="single" w:sz="4" w:space="0" w:color="563C80"/>
              <w:left w:val="single" w:sz="4" w:space="0" w:color="563C80"/>
              <w:bottom w:val="single" w:sz="4" w:space="0" w:color="563C80"/>
              <w:right w:val="single" w:sz="8" w:space="0" w:color="563C80"/>
            </w:tcBorders>
          </w:tcPr>
          <w:p w14:paraId="037013E2" w14:textId="77777777" w:rsidR="006F0DDB" w:rsidRDefault="00000000">
            <w:pPr>
              <w:spacing w:after="0" w:line="259" w:lineRule="auto"/>
              <w:ind w:left="2" w:right="0" w:firstLine="0"/>
              <w:jc w:val="left"/>
            </w:pPr>
            <w:r>
              <w:rPr>
                <w:rFonts w:ascii="Arial" w:eastAsia="Arial" w:hAnsi="Arial" w:cs="Arial"/>
                <w:sz w:val="18"/>
              </w:rPr>
              <w:t xml:space="preserve">                  0   </w:t>
            </w:r>
            <w:proofErr w:type="gramStart"/>
            <w:r>
              <w:rPr>
                <w:rFonts w:ascii="Arial" w:eastAsia="Arial" w:hAnsi="Arial" w:cs="Arial"/>
                <w:sz w:val="18"/>
              </w:rPr>
              <w:t xml:space="preserve">   (</w:t>
            </w:r>
            <w:proofErr w:type="gramEnd"/>
            <w:r>
              <w:rPr>
                <w:rFonts w:ascii="Arial" w:eastAsia="Arial" w:hAnsi="Arial" w:cs="Arial"/>
                <w:sz w:val="18"/>
              </w:rPr>
              <w:t xml:space="preserve">0.0%) </w:t>
            </w:r>
          </w:p>
        </w:tc>
      </w:tr>
      <w:tr w:rsidR="006F0DDB" w14:paraId="752C1DA7"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0085CF5E" w14:textId="77777777" w:rsidR="006F0DDB" w:rsidRDefault="00000000">
            <w:pPr>
              <w:spacing w:after="0" w:line="259" w:lineRule="auto"/>
              <w:ind w:left="285" w:right="0" w:firstLine="0"/>
              <w:jc w:val="left"/>
            </w:pPr>
            <w:r>
              <w:rPr>
                <w:rFonts w:ascii="Arial" w:eastAsia="Arial" w:hAnsi="Arial" w:cs="Arial"/>
                <w:sz w:val="18"/>
              </w:rPr>
              <w:t>Stroke</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2870F762" w14:textId="77777777" w:rsidR="006F0DDB" w:rsidRDefault="00000000">
            <w:pPr>
              <w:spacing w:after="0" w:line="259" w:lineRule="auto"/>
              <w:ind w:left="2" w:right="0" w:firstLine="0"/>
              <w:jc w:val="left"/>
            </w:pPr>
            <w:r>
              <w:rPr>
                <w:rFonts w:ascii="Arial" w:eastAsia="Arial" w:hAnsi="Arial" w:cs="Arial"/>
                <w:sz w:val="18"/>
              </w:rPr>
              <w:t xml:space="preserve">                  2   </w:t>
            </w:r>
            <w:proofErr w:type="gramStart"/>
            <w:r>
              <w:rPr>
                <w:rFonts w:ascii="Arial" w:eastAsia="Arial" w:hAnsi="Arial" w:cs="Arial"/>
                <w:sz w:val="18"/>
              </w:rPr>
              <w:t xml:space="preserve">   (</w:t>
            </w:r>
            <w:proofErr w:type="gramEnd"/>
            <w:r>
              <w:rPr>
                <w:rFonts w:ascii="Arial" w:eastAsia="Arial" w:hAnsi="Arial" w:cs="Arial"/>
                <w:sz w:val="18"/>
              </w:rPr>
              <w:t xml:space="preserve">2.2%)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10CF20DB" w14:textId="77777777" w:rsidR="006F0DDB" w:rsidRDefault="00000000">
            <w:pPr>
              <w:spacing w:after="0" w:line="259" w:lineRule="auto"/>
              <w:ind w:left="2" w:right="0" w:firstLine="0"/>
              <w:jc w:val="left"/>
            </w:pPr>
            <w:r>
              <w:rPr>
                <w:rFonts w:ascii="Arial" w:eastAsia="Arial" w:hAnsi="Arial" w:cs="Arial"/>
                <w:sz w:val="18"/>
              </w:rPr>
              <w:t xml:space="preserve">                  2   </w:t>
            </w:r>
            <w:proofErr w:type="gramStart"/>
            <w:r>
              <w:rPr>
                <w:rFonts w:ascii="Arial" w:eastAsia="Arial" w:hAnsi="Arial" w:cs="Arial"/>
                <w:sz w:val="18"/>
              </w:rPr>
              <w:t xml:space="preserve">   (</w:t>
            </w:r>
            <w:proofErr w:type="gramEnd"/>
            <w:r>
              <w:rPr>
                <w:rFonts w:ascii="Arial" w:eastAsia="Arial" w:hAnsi="Arial" w:cs="Arial"/>
                <w:sz w:val="18"/>
              </w:rPr>
              <w:t xml:space="preserve">2.2%) </w:t>
            </w:r>
          </w:p>
        </w:tc>
      </w:tr>
      <w:tr w:rsidR="006F0DDB" w14:paraId="34258125"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387A78AE" w14:textId="77777777" w:rsidR="006F0DDB" w:rsidRDefault="00000000">
            <w:pPr>
              <w:spacing w:after="0" w:line="259" w:lineRule="auto"/>
              <w:ind w:left="285" w:right="0" w:firstLine="0"/>
              <w:jc w:val="left"/>
            </w:pPr>
            <w:r>
              <w:rPr>
                <w:rFonts w:ascii="Arial" w:eastAsia="Arial" w:hAnsi="Arial" w:cs="Arial"/>
                <w:sz w:val="18"/>
              </w:rPr>
              <w:t>Multiple sclerosis</w:t>
            </w:r>
          </w:p>
        </w:tc>
        <w:tc>
          <w:tcPr>
            <w:tcW w:w="2640" w:type="dxa"/>
            <w:tcBorders>
              <w:top w:val="single" w:sz="4" w:space="0" w:color="563C80"/>
              <w:left w:val="single" w:sz="4" w:space="0" w:color="563C80"/>
              <w:bottom w:val="single" w:sz="4" w:space="0" w:color="563C80"/>
              <w:right w:val="single" w:sz="4" w:space="0" w:color="563C80"/>
            </w:tcBorders>
          </w:tcPr>
          <w:p w14:paraId="4D7487BF" w14:textId="77777777" w:rsidR="006F0DDB" w:rsidRDefault="00000000">
            <w:pPr>
              <w:spacing w:after="0" w:line="259" w:lineRule="auto"/>
              <w:ind w:left="0" w:right="0" w:firstLine="0"/>
              <w:jc w:val="left"/>
            </w:pPr>
            <w:r>
              <w:rPr>
                <w:rFonts w:ascii="Arial" w:eastAsia="Arial" w:hAnsi="Arial" w:cs="Arial"/>
                <w:sz w:val="18"/>
              </w:rPr>
              <w:t xml:space="preserve">                10 </w:t>
            </w:r>
            <w:proofErr w:type="gramStart"/>
            <w:r>
              <w:rPr>
                <w:rFonts w:ascii="Arial" w:eastAsia="Arial" w:hAnsi="Arial" w:cs="Arial"/>
                <w:sz w:val="18"/>
              </w:rPr>
              <w:t xml:space="preserve">   (</w:t>
            </w:r>
            <w:proofErr w:type="gramEnd"/>
            <w:r>
              <w:rPr>
                <w:rFonts w:ascii="Arial" w:eastAsia="Arial" w:hAnsi="Arial" w:cs="Arial"/>
                <w:sz w:val="18"/>
              </w:rPr>
              <w:t xml:space="preserve">11.1%) </w:t>
            </w:r>
          </w:p>
        </w:tc>
        <w:tc>
          <w:tcPr>
            <w:tcW w:w="2638" w:type="dxa"/>
            <w:tcBorders>
              <w:top w:val="single" w:sz="4" w:space="0" w:color="563C80"/>
              <w:left w:val="single" w:sz="4" w:space="0" w:color="563C80"/>
              <w:bottom w:val="single" w:sz="4" w:space="0" w:color="563C80"/>
              <w:right w:val="single" w:sz="8" w:space="0" w:color="563C80"/>
            </w:tcBorders>
          </w:tcPr>
          <w:p w14:paraId="0A8890BE" w14:textId="77777777" w:rsidR="006F0DDB" w:rsidRDefault="00000000">
            <w:pPr>
              <w:spacing w:after="0" w:line="259" w:lineRule="auto"/>
              <w:ind w:left="2" w:right="0" w:firstLine="0"/>
              <w:jc w:val="left"/>
            </w:pPr>
            <w:r>
              <w:rPr>
                <w:rFonts w:ascii="Arial" w:eastAsia="Arial" w:hAnsi="Arial" w:cs="Arial"/>
                <w:sz w:val="18"/>
              </w:rPr>
              <w:t xml:space="preserve">                  6   </w:t>
            </w:r>
            <w:proofErr w:type="gramStart"/>
            <w:r>
              <w:rPr>
                <w:rFonts w:ascii="Arial" w:eastAsia="Arial" w:hAnsi="Arial" w:cs="Arial"/>
                <w:sz w:val="18"/>
              </w:rPr>
              <w:t xml:space="preserve">   (</w:t>
            </w:r>
            <w:proofErr w:type="gramEnd"/>
            <w:r>
              <w:rPr>
                <w:rFonts w:ascii="Arial" w:eastAsia="Arial" w:hAnsi="Arial" w:cs="Arial"/>
                <w:sz w:val="18"/>
              </w:rPr>
              <w:t xml:space="preserve">6.5%) </w:t>
            </w:r>
          </w:p>
        </w:tc>
      </w:tr>
      <w:tr w:rsidR="006F0DDB" w14:paraId="32FA9C14"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1DD84428" w14:textId="77777777" w:rsidR="006F0DDB" w:rsidRDefault="00000000">
            <w:pPr>
              <w:spacing w:after="0" w:line="259" w:lineRule="auto"/>
              <w:ind w:left="285" w:right="0" w:firstLine="0"/>
              <w:jc w:val="left"/>
            </w:pPr>
            <w:r>
              <w:rPr>
                <w:rFonts w:ascii="Arial" w:eastAsia="Arial" w:hAnsi="Arial" w:cs="Arial"/>
                <w:sz w:val="18"/>
              </w:rPr>
              <w:t>Cerebral palsy</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0CBB7299"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1.1%)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0E2816AD"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1.1%) </w:t>
            </w:r>
          </w:p>
        </w:tc>
      </w:tr>
      <w:tr w:rsidR="006F0DDB" w14:paraId="09A9B865"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53426BB4" w14:textId="77777777" w:rsidR="006F0DDB" w:rsidRDefault="00000000">
            <w:pPr>
              <w:spacing w:after="0" w:line="259" w:lineRule="auto"/>
              <w:ind w:left="285" w:right="0" w:firstLine="0"/>
              <w:jc w:val="left"/>
            </w:pPr>
            <w:r>
              <w:rPr>
                <w:rFonts w:ascii="Arial" w:eastAsia="Arial" w:hAnsi="Arial" w:cs="Arial"/>
                <w:sz w:val="18"/>
              </w:rPr>
              <w:t>Spina bifida</w:t>
            </w:r>
          </w:p>
        </w:tc>
        <w:tc>
          <w:tcPr>
            <w:tcW w:w="2640" w:type="dxa"/>
            <w:tcBorders>
              <w:top w:val="single" w:sz="4" w:space="0" w:color="563C80"/>
              <w:left w:val="single" w:sz="4" w:space="0" w:color="563C80"/>
              <w:bottom w:val="single" w:sz="4" w:space="0" w:color="563C80"/>
              <w:right w:val="single" w:sz="4" w:space="0" w:color="563C80"/>
            </w:tcBorders>
          </w:tcPr>
          <w:p w14:paraId="362ABA53" w14:textId="77777777" w:rsidR="006F0DDB" w:rsidRDefault="00000000">
            <w:pPr>
              <w:spacing w:after="0" w:line="259" w:lineRule="auto"/>
              <w:ind w:left="2" w:right="0" w:firstLine="0"/>
              <w:jc w:val="left"/>
            </w:pPr>
            <w:r>
              <w:rPr>
                <w:rFonts w:ascii="Arial" w:eastAsia="Arial" w:hAnsi="Arial" w:cs="Arial"/>
                <w:sz w:val="18"/>
              </w:rPr>
              <w:t xml:space="preserve">                  2   </w:t>
            </w:r>
            <w:proofErr w:type="gramStart"/>
            <w:r>
              <w:rPr>
                <w:rFonts w:ascii="Arial" w:eastAsia="Arial" w:hAnsi="Arial" w:cs="Arial"/>
                <w:sz w:val="18"/>
              </w:rPr>
              <w:t xml:space="preserve">   (</w:t>
            </w:r>
            <w:proofErr w:type="gramEnd"/>
            <w:r>
              <w:rPr>
                <w:rFonts w:ascii="Arial" w:eastAsia="Arial" w:hAnsi="Arial" w:cs="Arial"/>
                <w:sz w:val="18"/>
              </w:rPr>
              <w:t xml:space="preserve">2.2%) </w:t>
            </w:r>
          </w:p>
        </w:tc>
        <w:tc>
          <w:tcPr>
            <w:tcW w:w="2638" w:type="dxa"/>
            <w:tcBorders>
              <w:top w:val="single" w:sz="4" w:space="0" w:color="563C80"/>
              <w:left w:val="single" w:sz="4" w:space="0" w:color="563C80"/>
              <w:bottom w:val="single" w:sz="4" w:space="0" w:color="563C80"/>
              <w:right w:val="single" w:sz="8" w:space="0" w:color="563C80"/>
            </w:tcBorders>
          </w:tcPr>
          <w:p w14:paraId="203AC524" w14:textId="77777777" w:rsidR="006F0DDB" w:rsidRDefault="00000000">
            <w:pPr>
              <w:spacing w:after="0" w:line="259" w:lineRule="auto"/>
              <w:ind w:left="2" w:right="0" w:firstLine="0"/>
              <w:jc w:val="left"/>
            </w:pPr>
            <w:r>
              <w:rPr>
                <w:rFonts w:ascii="Arial" w:eastAsia="Arial" w:hAnsi="Arial" w:cs="Arial"/>
                <w:sz w:val="18"/>
              </w:rPr>
              <w:t xml:space="preserve">                  0   </w:t>
            </w:r>
            <w:proofErr w:type="gramStart"/>
            <w:r>
              <w:rPr>
                <w:rFonts w:ascii="Arial" w:eastAsia="Arial" w:hAnsi="Arial" w:cs="Arial"/>
                <w:sz w:val="18"/>
              </w:rPr>
              <w:t xml:space="preserve">   (</w:t>
            </w:r>
            <w:proofErr w:type="gramEnd"/>
            <w:r>
              <w:rPr>
                <w:rFonts w:ascii="Arial" w:eastAsia="Arial" w:hAnsi="Arial" w:cs="Arial"/>
                <w:sz w:val="18"/>
              </w:rPr>
              <w:t xml:space="preserve">0.0%) </w:t>
            </w:r>
          </w:p>
        </w:tc>
      </w:tr>
      <w:tr w:rsidR="006F0DDB" w14:paraId="303670B1"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4F13A4A7" w14:textId="77777777" w:rsidR="006F0DDB" w:rsidRDefault="00000000">
            <w:pPr>
              <w:spacing w:after="0" w:line="259" w:lineRule="auto"/>
              <w:ind w:left="285" w:right="0" w:firstLine="0"/>
              <w:jc w:val="left"/>
            </w:pPr>
            <w:r>
              <w:rPr>
                <w:rFonts w:ascii="Arial" w:eastAsia="Arial" w:hAnsi="Arial" w:cs="Arial"/>
                <w:sz w:val="18"/>
              </w:rPr>
              <w:t>Parkinson’s disease</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3FA069B8" w14:textId="77777777" w:rsidR="006F0DDB" w:rsidRDefault="00000000">
            <w:pPr>
              <w:spacing w:after="0" w:line="259" w:lineRule="auto"/>
              <w:ind w:left="2" w:right="0" w:firstLine="0"/>
              <w:jc w:val="left"/>
            </w:pPr>
            <w:r>
              <w:rPr>
                <w:rFonts w:ascii="Arial" w:eastAsia="Arial" w:hAnsi="Arial" w:cs="Arial"/>
                <w:sz w:val="18"/>
              </w:rPr>
              <w:t xml:space="preserve">                  0   </w:t>
            </w:r>
            <w:proofErr w:type="gramStart"/>
            <w:r>
              <w:rPr>
                <w:rFonts w:ascii="Arial" w:eastAsia="Arial" w:hAnsi="Arial" w:cs="Arial"/>
                <w:sz w:val="18"/>
              </w:rPr>
              <w:t xml:space="preserve">   (</w:t>
            </w:r>
            <w:proofErr w:type="gramEnd"/>
            <w:r>
              <w:rPr>
                <w:rFonts w:ascii="Arial" w:eastAsia="Arial" w:hAnsi="Arial" w:cs="Arial"/>
                <w:sz w:val="18"/>
              </w:rPr>
              <w:t xml:space="preserve">0.0%)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08048386"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1.1%) </w:t>
            </w:r>
          </w:p>
        </w:tc>
      </w:tr>
      <w:tr w:rsidR="006F0DDB" w14:paraId="2505F2B3"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338DF4F1" w14:textId="77777777" w:rsidR="006F0DDB" w:rsidRDefault="00000000">
            <w:pPr>
              <w:spacing w:after="0" w:line="259" w:lineRule="auto"/>
              <w:ind w:left="285" w:right="0" w:firstLine="0"/>
              <w:jc w:val="left"/>
            </w:pPr>
            <w:r>
              <w:rPr>
                <w:rFonts w:ascii="Arial" w:eastAsia="Arial" w:hAnsi="Arial" w:cs="Arial"/>
                <w:sz w:val="18"/>
              </w:rPr>
              <w:t>Spinal cord Injury, tetraplegia</w:t>
            </w:r>
          </w:p>
        </w:tc>
        <w:tc>
          <w:tcPr>
            <w:tcW w:w="2640" w:type="dxa"/>
            <w:tcBorders>
              <w:top w:val="single" w:sz="4" w:space="0" w:color="563C80"/>
              <w:left w:val="single" w:sz="4" w:space="0" w:color="563C80"/>
              <w:bottom w:val="single" w:sz="4" w:space="0" w:color="563C80"/>
              <w:right w:val="single" w:sz="4" w:space="0" w:color="563C80"/>
            </w:tcBorders>
          </w:tcPr>
          <w:p w14:paraId="67FA95B1"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1.1%) </w:t>
            </w:r>
          </w:p>
        </w:tc>
        <w:tc>
          <w:tcPr>
            <w:tcW w:w="2638" w:type="dxa"/>
            <w:tcBorders>
              <w:top w:val="single" w:sz="4" w:space="0" w:color="563C80"/>
              <w:left w:val="single" w:sz="4" w:space="0" w:color="563C80"/>
              <w:bottom w:val="single" w:sz="4" w:space="0" w:color="563C80"/>
              <w:right w:val="single" w:sz="8" w:space="0" w:color="563C80"/>
            </w:tcBorders>
          </w:tcPr>
          <w:p w14:paraId="134DA6D5" w14:textId="77777777" w:rsidR="006F0DDB" w:rsidRDefault="00000000">
            <w:pPr>
              <w:spacing w:after="0" w:line="259" w:lineRule="auto"/>
              <w:ind w:left="2" w:right="0" w:firstLine="0"/>
              <w:jc w:val="left"/>
            </w:pPr>
            <w:r>
              <w:rPr>
                <w:rFonts w:ascii="Arial" w:eastAsia="Arial" w:hAnsi="Arial" w:cs="Arial"/>
                <w:sz w:val="18"/>
              </w:rPr>
              <w:t xml:space="preserve">                  4   </w:t>
            </w:r>
            <w:proofErr w:type="gramStart"/>
            <w:r>
              <w:rPr>
                <w:rFonts w:ascii="Arial" w:eastAsia="Arial" w:hAnsi="Arial" w:cs="Arial"/>
                <w:sz w:val="18"/>
              </w:rPr>
              <w:t xml:space="preserve">   (</w:t>
            </w:r>
            <w:proofErr w:type="gramEnd"/>
            <w:r>
              <w:rPr>
                <w:rFonts w:ascii="Arial" w:eastAsia="Arial" w:hAnsi="Arial" w:cs="Arial"/>
                <w:sz w:val="18"/>
              </w:rPr>
              <w:t xml:space="preserve">4.3%) </w:t>
            </w:r>
          </w:p>
        </w:tc>
      </w:tr>
      <w:tr w:rsidR="006F0DDB" w14:paraId="525B4924"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703C9524" w14:textId="77777777" w:rsidR="006F0DDB" w:rsidRDefault="00000000">
            <w:pPr>
              <w:spacing w:after="0" w:line="259" w:lineRule="auto"/>
              <w:ind w:left="285" w:right="0" w:firstLine="0"/>
              <w:jc w:val="left"/>
            </w:pPr>
            <w:r>
              <w:rPr>
                <w:rFonts w:ascii="Arial" w:eastAsia="Arial" w:hAnsi="Arial" w:cs="Arial"/>
                <w:sz w:val="18"/>
              </w:rPr>
              <w:t>Spinal cord Injury, paraplegia</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5F32774B" w14:textId="77777777" w:rsidR="006F0DDB" w:rsidRDefault="00000000">
            <w:pPr>
              <w:spacing w:after="0" w:line="259" w:lineRule="auto"/>
              <w:ind w:left="2" w:right="0" w:firstLine="0"/>
              <w:jc w:val="left"/>
            </w:pPr>
            <w:r>
              <w:rPr>
                <w:rFonts w:ascii="Arial" w:eastAsia="Arial" w:hAnsi="Arial" w:cs="Arial"/>
                <w:sz w:val="18"/>
              </w:rPr>
              <w:t xml:space="preserve">                  7   </w:t>
            </w:r>
            <w:proofErr w:type="gramStart"/>
            <w:r>
              <w:rPr>
                <w:rFonts w:ascii="Arial" w:eastAsia="Arial" w:hAnsi="Arial" w:cs="Arial"/>
                <w:sz w:val="18"/>
              </w:rPr>
              <w:t xml:space="preserve">   (</w:t>
            </w:r>
            <w:proofErr w:type="gramEnd"/>
            <w:r>
              <w:rPr>
                <w:rFonts w:ascii="Arial" w:eastAsia="Arial" w:hAnsi="Arial" w:cs="Arial"/>
                <w:sz w:val="18"/>
              </w:rPr>
              <w:t xml:space="preserve">7.8%)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2E1763C5" w14:textId="77777777" w:rsidR="006F0DDB" w:rsidRDefault="00000000">
            <w:pPr>
              <w:spacing w:after="0" w:line="259" w:lineRule="auto"/>
              <w:ind w:left="2" w:right="0" w:firstLine="0"/>
              <w:jc w:val="left"/>
            </w:pPr>
            <w:r>
              <w:rPr>
                <w:rFonts w:ascii="Arial" w:eastAsia="Arial" w:hAnsi="Arial" w:cs="Arial"/>
                <w:sz w:val="18"/>
              </w:rPr>
              <w:t xml:space="preserve">                  5   </w:t>
            </w:r>
            <w:proofErr w:type="gramStart"/>
            <w:r>
              <w:rPr>
                <w:rFonts w:ascii="Arial" w:eastAsia="Arial" w:hAnsi="Arial" w:cs="Arial"/>
                <w:sz w:val="18"/>
              </w:rPr>
              <w:t xml:space="preserve">   (</w:t>
            </w:r>
            <w:proofErr w:type="gramEnd"/>
            <w:r>
              <w:rPr>
                <w:rFonts w:ascii="Arial" w:eastAsia="Arial" w:hAnsi="Arial" w:cs="Arial"/>
                <w:sz w:val="18"/>
              </w:rPr>
              <w:t xml:space="preserve">5.4%) </w:t>
            </w:r>
          </w:p>
        </w:tc>
      </w:tr>
      <w:tr w:rsidR="006F0DDB" w14:paraId="4874C94B"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1311DC59" w14:textId="77777777" w:rsidR="006F0DDB" w:rsidRDefault="00000000">
            <w:pPr>
              <w:spacing w:after="0" w:line="259" w:lineRule="auto"/>
              <w:ind w:left="285" w:right="0" w:firstLine="0"/>
              <w:jc w:val="left"/>
            </w:pPr>
            <w:r>
              <w:rPr>
                <w:rFonts w:ascii="Arial" w:eastAsia="Arial" w:hAnsi="Arial" w:cs="Arial"/>
                <w:sz w:val="18"/>
              </w:rPr>
              <w:t>Retention/incomplete bladder emptying</w:t>
            </w:r>
          </w:p>
        </w:tc>
        <w:tc>
          <w:tcPr>
            <w:tcW w:w="2640" w:type="dxa"/>
            <w:tcBorders>
              <w:top w:val="single" w:sz="4" w:space="0" w:color="563C80"/>
              <w:left w:val="single" w:sz="4" w:space="0" w:color="563C80"/>
              <w:bottom w:val="single" w:sz="4" w:space="0" w:color="563C80"/>
              <w:right w:val="single" w:sz="4" w:space="0" w:color="563C80"/>
            </w:tcBorders>
          </w:tcPr>
          <w:p w14:paraId="2F3EF5E2" w14:textId="77777777" w:rsidR="006F0DDB" w:rsidRDefault="00000000">
            <w:pPr>
              <w:spacing w:after="0" w:line="259" w:lineRule="auto"/>
              <w:ind w:left="0" w:right="0" w:firstLine="0"/>
              <w:jc w:val="left"/>
            </w:pPr>
            <w:r>
              <w:rPr>
                <w:rFonts w:ascii="Arial" w:eastAsia="Arial" w:hAnsi="Arial" w:cs="Arial"/>
                <w:sz w:val="18"/>
              </w:rPr>
              <w:t xml:space="preserve">                30 </w:t>
            </w:r>
            <w:proofErr w:type="gramStart"/>
            <w:r>
              <w:rPr>
                <w:rFonts w:ascii="Arial" w:eastAsia="Arial" w:hAnsi="Arial" w:cs="Arial"/>
                <w:sz w:val="18"/>
              </w:rPr>
              <w:t xml:space="preserve">   (</w:t>
            </w:r>
            <w:proofErr w:type="gramEnd"/>
            <w:r>
              <w:rPr>
                <w:rFonts w:ascii="Arial" w:eastAsia="Arial" w:hAnsi="Arial" w:cs="Arial"/>
                <w:sz w:val="18"/>
              </w:rPr>
              <w:t xml:space="preserve">33.3%) </w:t>
            </w:r>
          </w:p>
        </w:tc>
        <w:tc>
          <w:tcPr>
            <w:tcW w:w="2638" w:type="dxa"/>
            <w:tcBorders>
              <w:top w:val="single" w:sz="4" w:space="0" w:color="563C80"/>
              <w:left w:val="single" w:sz="4" w:space="0" w:color="563C80"/>
              <w:bottom w:val="single" w:sz="4" w:space="0" w:color="563C80"/>
              <w:right w:val="single" w:sz="8" w:space="0" w:color="563C80"/>
            </w:tcBorders>
          </w:tcPr>
          <w:p w14:paraId="1D6BB7BF" w14:textId="77777777" w:rsidR="006F0DDB" w:rsidRDefault="00000000">
            <w:pPr>
              <w:spacing w:after="0" w:line="259" w:lineRule="auto"/>
              <w:ind w:left="0" w:right="0" w:firstLine="0"/>
              <w:jc w:val="left"/>
            </w:pPr>
            <w:r>
              <w:rPr>
                <w:rFonts w:ascii="Arial" w:eastAsia="Arial" w:hAnsi="Arial" w:cs="Arial"/>
                <w:sz w:val="18"/>
              </w:rPr>
              <w:t xml:space="preserve">                46 </w:t>
            </w:r>
            <w:proofErr w:type="gramStart"/>
            <w:r>
              <w:rPr>
                <w:rFonts w:ascii="Arial" w:eastAsia="Arial" w:hAnsi="Arial" w:cs="Arial"/>
                <w:sz w:val="18"/>
              </w:rPr>
              <w:t xml:space="preserve">   (</w:t>
            </w:r>
            <w:proofErr w:type="gramEnd"/>
            <w:r>
              <w:rPr>
                <w:rFonts w:ascii="Arial" w:eastAsia="Arial" w:hAnsi="Arial" w:cs="Arial"/>
                <w:sz w:val="18"/>
              </w:rPr>
              <w:t xml:space="preserve">49.5%) </w:t>
            </w:r>
          </w:p>
        </w:tc>
      </w:tr>
      <w:tr w:rsidR="006F0DDB" w14:paraId="1450F99E"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435B10D9" w14:textId="77777777" w:rsidR="006F0DDB" w:rsidRDefault="00000000">
            <w:pPr>
              <w:spacing w:after="0" w:line="259" w:lineRule="auto"/>
              <w:ind w:left="285" w:right="0" w:firstLine="0"/>
              <w:jc w:val="left"/>
            </w:pPr>
            <w:r>
              <w:rPr>
                <w:rFonts w:ascii="Arial" w:eastAsia="Arial" w:hAnsi="Arial" w:cs="Arial"/>
                <w:sz w:val="18"/>
              </w:rPr>
              <w:t>Neurogenic bladder</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17A21D11" w14:textId="77777777" w:rsidR="006F0DDB" w:rsidRDefault="00000000">
            <w:pPr>
              <w:spacing w:after="0" w:line="259" w:lineRule="auto"/>
              <w:ind w:left="0" w:right="0" w:firstLine="0"/>
              <w:jc w:val="left"/>
            </w:pPr>
            <w:r>
              <w:rPr>
                <w:rFonts w:ascii="Arial" w:eastAsia="Arial" w:hAnsi="Arial" w:cs="Arial"/>
                <w:sz w:val="18"/>
              </w:rPr>
              <w:t xml:space="preserve">                20 </w:t>
            </w:r>
            <w:proofErr w:type="gramStart"/>
            <w:r>
              <w:rPr>
                <w:rFonts w:ascii="Arial" w:eastAsia="Arial" w:hAnsi="Arial" w:cs="Arial"/>
                <w:sz w:val="18"/>
              </w:rPr>
              <w:t xml:space="preserve">   (</w:t>
            </w:r>
            <w:proofErr w:type="gramEnd"/>
            <w:r>
              <w:rPr>
                <w:rFonts w:ascii="Arial" w:eastAsia="Arial" w:hAnsi="Arial" w:cs="Arial"/>
                <w:sz w:val="18"/>
              </w:rPr>
              <w:t xml:space="preserve">22.2%)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4141CC8C"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1.1%) </w:t>
            </w:r>
          </w:p>
        </w:tc>
      </w:tr>
      <w:tr w:rsidR="006F0DDB" w14:paraId="13E4FE36"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0184E550" w14:textId="77777777" w:rsidR="006F0DDB" w:rsidRDefault="00000000">
            <w:pPr>
              <w:spacing w:after="0" w:line="259" w:lineRule="auto"/>
              <w:ind w:left="285" w:right="0" w:firstLine="0"/>
              <w:jc w:val="left"/>
            </w:pPr>
            <w:r>
              <w:rPr>
                <w:rFonts w:ascii="Arial" w:eastAsia="Arial" w:hAnsi="Arial" w:cs="Arial"/>
                <w:sz w:val="18"/>
              </w:rPr>
              <w:t>Other</w:t>
            </w:r>
          </w:p>
        </w:tc>
        <w:tc>
          <w:tcPr>
            <w:tcW w:w="2640" w:type="dxa"/>
            <w:tcBorders>
              <w:top w:val="single" w:sz="4" w:space="0" w:color="563C80"/>
              <w:left w:val="single" w:sz="4" w:space="0" w:color="563C80"/>
              <w:bottom w:val="single" w:sz="4" w:space="0" w:color="563C80"/>
              <w:right w:val="single" w:sz="4" w:space="0" w:color="563C80"/>
            </w:tcBorders>
          </w:tcPr>
          <w:p w14:paraId="625DE967" w14:textId="77777777" w:rsidR="006F0DDB" w:rsidRDefault="00000000">
            <w:pPr>
              <w:spacing w:after="0" w:line="259" w:lineRule="auto"/>
              <w:ind w:left="2" w:right="0" w:firstLine="0"/>
              <w:jc w:val="left"/>
            </w:pPr>
            <w:r>
              <w:rPr>
                <w:rFonts w:ascii="Arial" w:eastAsia="Arial" w:hAnsi="Arial" w:cs="Arial"/>
                <w:sz w:val="18"/>
              </w:rPr>
              <w:t xml:space="preserve">                  6   </w:t>
            </w:r>
            <w:proofErr w:type="gramStart"/>
            <w:r>
              <w:rPr>
                <w:rFonts w:ascii="Arial" w:eastAsia="Arial" w:hAnsi="Arial" w:cs="Arial"/>
                <w:sz w:val="18"/>
              </w:rPr>
              <w:t xml:space="preserve">   (</w:t>
            </w:r>
            <w:proofErr w:type="gramEnd"/>
            <w:r>
              <w:rPr>
                <w:rFonts w:ascii="Arial" w:eastAsia="Arial" w:hAnsi="Arial" w:cs="Arial"/>
                <w:sz w:val="18"/>
              </w:rPr>
              <w:t xml:space="preserve">6.7%) </w:t>
            </w:r>
          </w:p>
        </w:tc>
        <w:tc>
          <w:tcPr>
            <w:tcW w:w="2638" w:type="dxa"/>
            <w:tcBorders>
              <w:top w:val="single" w:sz="4" w:space="0" w:color="563C80"/>
              <w:left w:val="single" w:sz="4" w:space="0" w:color="563C80"/>
              <w:bottom w:val="single" w:sz="4" w:space="0" w:color="563C80"/>
              <w:right w:val="single" w:sz="8" w:space="0" w:color="563C80"/>
            </w:tcBorders>
          </w:tcPr>
          <w:p w14:paraId="47D00F3A" w14:textId="77777777" w:rsidR="006F0DDB" w:rsidRDefault="00000000">
            <w:pPr>
              <w:spacing w:after="0" w:line="259" w:lineRule="auto"/>
              <w:ind w:left="0" w:right="0" w:firstLine="0"/>
              <w:jc w:val="left"/>
            </w:pPr>
            <w:r>
              <w:rPr>
                <w:rFonts w:ascii="Arial" w:eastAsia="Arial" w:hAnsi="Arial" w:cs="Arial"/>
                <w:sz w:val="18"/>
              </w:rPr>
              <w:t xml:space="preserve">                11 </w:t>
            </w:r>
            <w:proofErr w:type="gramStart"/>
            <w:r>
              <w:rPr>
                <w:rFonts w:ascii="Arial" w:eastAsia="Arial" w:hAnsi="Arial" w:cs="Arial"/>
                <w:sz w:val="18"/>
              </w:rPr>
              <w:t xml:space="preserve">   (</w:t>
            </w:r>
            <w:proofErr w:type="gramEnd"/>
            <w:r>
              <w:rPr>
                <w:rFonts w:ascii="Arial" w:eastAsia="Arial" w:hAnsi="Arial" w:cs="Arial"/>
                <w:sz w:val="18"/>
              </w:rPr>
              <w:t xml:space="preserve">11.8%) </w:t>
            </w:r>
          </w:p>
        </w:tc>
      </w:tr>
      <w:tr w:rsidR="006F0DDB" w14:paraId="2493B666" w14:textId="77777777">
        <w:trPr>
          <w:trHeight w:val="320"/>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52F924CC" w14:textId="77777777" w:rsidR="006F0DDB" w:rsidRDefault="00000000">
            <w:pPr>
              <w:spacing w:after="0" w:line="259" w:lineRule="auto"/>
              <w:ind w:left="285" w:right="0" w:firstLine="0"/>
              <w:jc w:val="left"/>
            </w:pPr>
            <w:r>
              <w:rPr>
                <w:rFonts w:ascii="Arial" w:eastAsia="Arial" w:hAnsi="Arial" w:cs="Arial"/>
                <w:sz w:val="18"/>
              </w:rPr>
              <w:t>Not known</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3B059561" w14:textId="77777777" w:rsidR="006F0DDB" w:rsidRDefault="00000000">
            <w:pPr>
              <w:spacing w:after="0" w:line="259" w:lineRule="auto"/>
              <w:ind w:left="2" w:right="0" w:firstLine="0"/>
              <w:jc w:val="left"/>
            </w:pPr>
            <w:r>
              <w:rPr>
                <w:rFonts w:ascii="Arial" w:eastAsia="Arial" w:hAnsi="Arial" w:cs="Arial"/>
                <w:sz w:val="18"/>
              </w:rPr>
              <w:t xml:space="preserve">                  0   </w:t>
            </w:r>
            <w:proofErr w:type="gramStart"/>
            <w:r>
              <w:rPr>
                <w:rFonts w:ascii="Arial" w:eastAsia="Arial" w:hAnsi="Arial" w:cs="Arial"/>
                <w:sz w:val="18"/>
              </w:rPr>
              <w:t xml:space="preserve">   (</w:t>
            </w:r>
            <w:proofErr w:type="gramEnd"/>
            <w:r>
              <w:rPr>
                <w:rFonts w:ascii="Arial" w:eastAsia="Arial" w:hAnsi="Arial" w:cs="Arial"/>
                <w:sz w:val="18"/>
              </w:rPr>
              <w:t xml:space="preserve">0.0%)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604079F6" w14:textId="77777777" w:rsidR="006F0DDB" w:rsidRDefault="00000000">
            <w:pPr>
              <w:spacing w:after="0" w:line="259" w:lineRule="auto"/>
              <w:ind w:left="0" w:right="0" w:firstLine="0"/>
              <w:jc w:val="left"/>
            </w:pPr>
            <w:r>
              <w:rPr>
                <w:rFonts w:ascii="Arial" w:eastAsia="Arial" w:hAnsi="Arial" w:cs="Arial"/>
                <w:sz w:val="18"/>
              </w:rPr>
              <w:t xml:space="preserve">                16 </w:t>
            </w:r>
            <w:proofErr w:type="gramStart"/>
            <w:r>
              <w:rPr>
                <w:rFonts w:ascii="Arial" w:eastAsia="Arial" w:hAnsi="Arial" w:cs="Arial"/>
                <w:sz w:val="18"/>
              </w:rPr>
              <w:t xml:space="preserve">   (</w:t>
            </w:r>
            <w:proofErr w:type="gramEnd"/>
            <w:r>
              <w:rPr>
                <w:rFonts w:ascii="Arial" w:eastAsia="Arial" w:hAnsi="Arial" w:cs="Arial"/>
                <w:sz w:val="18"/>
              </w:rPr>
              <w:t xml:space="preserve">17.2%) </w:t>
            </w:r>
          </w:p>
        </w:tc>
      </w:tr>
      <w:tr w:rsidR="006F0DDB" w14:paraId="05BFA328" w14:textId="77777777">
        <w:trPr>
          <w:trHeight w:val="320"/>
        </w:trPr>
        <w:tc>
          <w:tcPr>
            <w:tcW w:w="4500" w:type="dxa"/>
            <w:tcBorders>
              <w:top w:val="single" w:sz="4" w:space="0" w:color="563C80"/>
              <w:left w:val="single" w:sz="8" w:space="0" w:color="563C80"/>
              <w:bottom w:val="single" w:sz="4" w:space="0" w:color="563C80"/>
              <w:right w:val="nil"/>
            </w:tcBorders>
            <w:shd w:val="clear" w:color="auto" w:fill="C9C9C9"/>
          </w:tcPr>
          <w:p w14:paraId="51C92D56" w14:textId="77777777" w:rsidR="006F0DDB" w:rsidRDefault="00000000">
            <w:pPr>
              <w:spacing w:after="0" w:line="259" w:lineRule="auto"/>
              <w:ind w:left="45" w:right="0" w:firstLine="0"/>
              <w:jc w:val="left"/>
            </w:pPr>
            <w:r>
              <w:rPr>
                <w:rFonts w:ascii="Arial" w:eastAsia="Arial" w:hAnsi="Arial" w:cs="Arial"/>
                <w:sz w:val="18"/>
              </w:rPr>
              <w:t>Catheter Types by Gender</w:t>
            </w:r>
          </w:p>
        </w:tc>
        <w:tc>
          <w:tcPr>
            <w:tcW w:w="2640" w:type="dxa"/>
            <w:tcBorders>
              <w:top w:val="single" w:sz="4" w:space="0" w:color="563C80"/>
              <w:left w:val="nil"/>
              <w:bottom w:val="single" w:sz="4" w:space="0" w:color="563C80"/>
              <w:right w:val="nil"/>
            </w:tcBorders>
            <w:shd w:val="clear" w:color="auto" w:fill="C9C9C9"/>
          </w:tcPr>
          <w:p w14:paraId="2DDD249E" w14:textId="77777777" w:rsidR="006F0DDB" w:rsidRDefault="006F0DDB">
            <w:pPr>
              <w:spacing w:after="160" w:line="259" w:lineRule="auto"/>
              <w:ind w:left="0" w:right="0" w:firstLine="0"/>
              <w:jc w:val="left"/>
            </w:pPr>
          </w:p>
        </w:tc>
        <w:tc>
          <w:tcPr>
            <w:tcW w:w="2638" w:type="dxa"/>
            <w:tcBorders>
              <w:top w:val="single" w:sz="4" w:space="0" w:color="563C80"/>
              <w:left w:val="nil"/>
              <w:bottom w:val="single" w:sz="4" w:space="0" w:color="563C80"/>
              <w:right w:val="single" w:sz="8" w:space="0" w:color="563C80"/>
            </w:tcBorders>
            <w:shd w:val="clear" w:color="auto" w:fill="C9C9C9"/>
          </w:tcPr>
          <w:p w14:paraId="17D29C37" w14:textId="77777777" w:rsidR="006F0DDB" w:rsidRDefault="006F0DDB">
            <w:pPr>
              <w:spacing w:after="160" w:line="259" w:lineRule="auto"/>
              <w:ind w:left="0" w:right="0" w:firstLine="0"/>
              <w:jc w:val="left"/>
            </w:pPr>
          </w:p>
        </w:tc>
      </w:tr>
      <w:tr w:rsidR="006F0DDB" w14:paraId="7F6A8468" w14:textId="77777777">
        <w:trPr>
          <w:trHeight w:val="544"/>
        </w:trPr>
        <w:tc>
          <w:tcPr>
            <w:tcW w:w="4500" w:type="dxa"/>
            <w:tcBorders>
              <w:top w:val="single" w:sz="4" w:space="0" w:color="563C80"/>
              <w:left w:val="single" w:sz="8" w:space="0" w:color="563C80"/>
              <w:bottom w:val="single" w:sz="4" w:space="0" w:color="563C80"/>
              <w:right w:val="single" w:sz="4" w:space="0" w:color="563C80"/>
            </w:tcBorders>
          </w:tcPr>
          <w:p w14:paraId="23E2D959" w14:textId="77777777" w:rsidR="006F0DDB" w:rsidRDefault="00000000">
            <w:pPr>
              <w:spacing w:after="0" w:line="259" w:lineRule="auto"/>
              <w:ind w:left="285" w:right="0" w:firstLine="0"/>
              <w:jc w:val="left"/>
            </w:pPr>
            <w:r>
              <w:rPr>
                <w:rFonts w:ascii="Arial" w:eastAsia="Arial" w:hAnsi="Arial" w:cs="Arial"/>
                <w:sz w:val="18"/>
              </w:rPr>
              <w:lastRenderedPageBreak/>
              <w:t xml:space="preserve">Urethral </w:t>
            </w:r>
          </w:p>
        </w:tc>
        <w:tc>
          <w:tcPr>
            <w:tcW w:w="2640" w:type="dxa"/>
            <w:tcBorders>
              <w:top w:val="single" w:sz="4" w:space="0" w:color="563C80"/>
              <w:left w:val="single" w:sz="4" w:space="0" w:color="563C80"/>
              <w:bottom w:val="single" w:sz="4" w:space="0" w:color="563C80"/>
              <w:right w:val="single" w:sz="4" w:space="0" w:color="563C80"/>
            </w:tcBorders>
          </w:tcPr>
          <w:p w14:paraId="50B8FE6D" w14:textId="77777777" w:rsidR="006F0DDB" w:rsidRDefault="00000000">
            <w:pPr>
              <w:spacing w:after="0" w:line="259" w:lineRule="auto"/>
              <w:ind w:left="0" w:right="0" w:firstLine="0"/>
              <w:jc w:val="left"/>
            </w:pPr>
            <w:r>
              <w:rPr>
                <w:rFonts w:ascii="Arial" w:eastAsia="Arial" w:hAnsi="Arial" w:cs="Arial"/>
                <w:sz w:val="18"/>
              </w:rPr>
              <w:t xml:space="preserve">                23 </w:t>
            </w:r>
            <w:proofErr w:type="gramStart"/>
            <w:r>
              <w:rPr>
                <w:rFonts w:ascii="Arial" w:eastAsia="Arial" w:hAnsi="Arial" w:cs="Arial"/>
                <w:sz w:val="18"/>
              </w:rPr>
              <w:t xml:space="preserve">   (</w:t>
            </w:r>
            <w:proofErr w:type="gramEnd"/>
            <w:r>
              <w:rPr>
                <w:rFonts w:ascii="Arial" w:eastAsia="Arial" w:hAnsi="Arial" w:cs="Arial"/>
                <w:sz w:val="18"/>
              </w:rPr>
              <w:t xml:space="preserve">24.0%) Male </w:t>
            </w:r>
          </w:p>
          <w:p w14:paraId="6405864B" w14:textId="77777777" w:rsidR="006F0DDB" w:rsidRDefault="00000000">
            <w:pPr>
              <w:spacing w:after="0" w:line="259" w:lineRule="auto"/>
              <w:ind w:left="0" w:right="0" w:firstLine="0"/>
              <w:jc w:val="left"/>
            </w:pPr>
            <w:r>
              <w:rPr>
                <w:rFonts w:ascii="Arial" w:eastAsia="Arial" w:hAnsi="Arial" w:cs="Arial"/>
                <w:sz w:val="18"/>
              </w:rPr>
              <w:t xml:space="preserve">                11 </w:t>
            </w:r>
            <w:proofErr w:type="gramStart"/>
            <w:r>
              <w:rPr>
                <w:rFonts w:ascii="Arial" w:eastAsia="Arial" w:hAnsi="Arial" w:cs="Arial"/>
                <w:sz w:val="18"/>
              </w:rPr>
              <w:t xml:space="preserve">   (</w:t>
            </w:r>
            <w:proofErr w:type="gramEnd"/>
            <w:r>
              <w:rPr>
                <w:rFonts w:ascii="Arial" w:eastAsia="Arial" w:hAnsi="Arial" w:cs="Arial"/>
                <w:sz w:val="18"/>
              </w:rPr>
              <w:t xml:space="preserve">11.5%) Female </w:t>
            </w:r>
          </w:p>
        </w:tc>
        <w:tc>
          <w:tcPr>
            <w:tcW w:w="2638" w:type="dxa"/>
            <w:tcBorders>
              <w:top w:val="single" w:sz="4" w:space="0" w:color="563C80"/>
              <w:left w:val="single" w:sz="4" w:space="0" w:color="563C80"/>
              <w:bottom w:val="single" w:sz="4" w:space="0" w:color="563C80"/>
              <w:right w:val="single" w:sz="8" w:space="0" w:color="563C80"/>
            </w:tcBorders>
          </w:tcPr>
          <w:p w14:paraId="42FDDE43" w14:textId="77777777" w:rsidR="006F0DDB" w:rsidRDefault="00000000">
            <w:pPr>
              <w:spacing w:after="0" w:line="259" w:lineRule="auto"/>
              <w:ind w:left="0" w:right="0" w:firstLine="0"/>
              <w:jc w:val="left"/>
            </w:pPr>
            <w:r>
              <w:rPr>
                <w:rFonts w:ascii="Arial" w:eastAsia="Arial" w:hAnsi="Arial" w:cs="Arial"/>
                <w:sz w:val="18"/>
              </w:rPr>
              <w:t xml:space="preserve">                67 </w:t>
            </w:r>
            <w:proofErr w:type="gramStart"/>
            <w:r>
              <w:rPr>
                <w:rFonts w:ascii="Arial" w:eastAsia="Arial" w:hAnsi="Arial" w:cs="Arial"/>
                <w:sz w:val="18"/>
              </w:rPr>
              <w:t xml:space="preserve">   (</w:t>
            </w:r>
            <w:proofErr w:type="gramEnd"/>
            <w:r>
              <w:rPr>
                <w:rFonts w:ascii="Arial" w:eastAsia="Arial" w:hAnsi="Arial" w:cs="Arial"/>
                <w:sz w:val="18"/>
              </w:rPr>
              <w:t xml:space="preserve">72.0%) Male </w:t>
            </w:r>
          </w:p>
          <w:p w14:paraId="20448336" w14:textId="77777777" w:rsidR="006F0DDB" w:rsidRDefault="00000000">
            <w:pPr>
              <w:spacing w:after="0" w:line="259" w:lineRule="auto"/>
              <w:ind w:left="0" w:right="0" w:firstLine="0"/>
              <w:jc w:val="left"/>
            </w:pPr>
            <w:r>
              <w:rPr>
                <w:rFonts w:ascii="Arial" w:eastAsia="Arial" w:hAnsi="Arial" w:cs="Arial"/>
                <w:sz w:val="18"/>
              </w:rPr>
              <w:t xml:space="preserve">                21 </w:t>
            </w:r>
            <w:proofErr w:type="gramStart"/>
            <w:r>
              <w:rPr>
                <w:rFonts w:ascii="Arial" w:eastAsia="Arial" w:hAnsi="Arial" w:cs="Arial"/>
                <w:sz w:val="18"/>
              </w:rPr>
              <w:t xml:space="preserve">   (</w:t>
            </w:r>
            <w:proofErr w:type="gramEnd"/>
            <w:r>
              <w:rPr>
                <w:rFonts w:ascii="Arial" w:eastAsia="Arial" w:hAnsi="Arial" w:cs="Arial"/>
                <w:sz w:val="18"/>
              </w:rPr>
              <w:t xml:space="preserve">22.6%) Female </w:t>
            </w:r>
          </w:p>
        </w:tc>
      </w:tr>
      <w:tr w:rsidR="006F0DDB" w14:paraId="5681E354" w14:textId="77777777">
        <w:trPr>
          <w:trHeight w:val="538"/>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34668929" w14:textId="77777777" w:rsidR="006F0DDB" w:rsidRDefault="00000000">
            <w:pPr>
              <w:spacing w:after="0" w:line="259" w:lineRule="auto"/>
              <w:ind w:left="285" w:right="0" w:firstLine="0"/>
              <w:jc w:val="left"/>
            </w:pPr>
            <w:r>
              <w:rPr>
                <w:rFonts w:ascii="Arial" w:eastAsia="Arial" w:hAnsi="Arial" w:cs="Arial"/>
                <w:sz w:val="18"/>
              </w:rPr>
              <w:t xml:space="preserve">Suprapubic </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5CA8BBA4" w14:textId="77777777" w:rsidR="006F0DDB" w:rsidRDefault="00000000">
            <w:pPr>
              <w:spacing w:after="0" w:line="259" w:lineRule="auto"/>
              <w:ind w:left="0" w:right="0" w:firstLine="0"/>
              <w:jc w:val="left"/>
            </w:pPr>
            <w:r>
              <w:rPr>
                <w:rFonts w:ascii="Arial" w:eastAsia="Arial" w:hAnsi="Arial" w:cs="Arial"/>
                <w:sz w:val="18"/>
              </w:rPr>
              <w:t xml:space="preserve">                43 </w:t>
            </w:r>
            <w:proofErr w:type="gramStart"/>
            <w:r>
              <w:rPr>
                <w:rFonts w:ascii="Arial" w:eastAsia="Arial" w:hAnsi="Arial" w:cs="Arial"/>
                <w:sz w:val="18"/>
              </w:rPr>
              <w:t xml:space="preserve">   (</w:t>
            </w:r>
            <w:proofErr w:type="gramEnd"/>
            <w:r>
              <w:rPr>
                <w:rFonts w:ascii="Arial" w:eastAsia="Arial" w:hAnsi="Arial" w:cs="Arial"/>
                <w:sz w:val="18"/>
              </w:rPr>
              <w:t xml:space="preserve">44.8%) Male </w:t>
            </w:r>
          </w:p>
          <w:p w14:paraId="503362EF" w14:textId="77777777" w:rsidR="006F0DDB" w:rsidRDefault="00000000">
            <w:pPr>
              <w:spacing w:after="0" w:line="259" w:lineRule="auto"/>
              <w:ind w:left="0" w:right="0" w:firstLine="0"/>
              <w:jc w:val="left"/>
            </w:pPr>
            <w:r>
              <w:rPr>
                <w:rFonts w:ascii="Arial" w:eastAsia="Arial" w:hAnsi="Arial" w:cs="Arial"/>
                <w:sz w:val="18"/>
              </w:rPr>
              <w:t xml:space="preserve">                19 </w:t>
            </w:r>
            <w:proofErr w:type="gramStart"/>
            <w:r>
              <w:rPr>
                <w:rFonts w:ascii="Arial" w:eastAsia="Arial" w:hAnsi="Arial" w:cs="Arial"/>
                <w:sz w:val="18"/>
              </w:rPr>
              <w:t xml:space="preserve">   (</w:t>
            </w:r>
            <w:proofErr w:type="gramEnd"/>
            <w:r>
              <w:rPr>
                <w:rFonts w:ascii="Arial" w:eastAsia="Arial" w:hAnsi="Arial" w:cs="Arial"/>
                <w:sz w:val="18"/>
              </w:rPr>
              <w:t xml:space="preserve">19.8%) Female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5E675B4A" w14:textId="77777777" w:rsidR="006F0DDB" w:rsidRDefault="00000000">
            <w:pPr>
              <w:numPr>
                <w:ilvl w:val="0"/>
                <w:numId w:val="1"/>
              </w:numPr>
              <w:spacing w:after="0" w:line="259" w:lineRule="auto"/>
              <w:ind w:right="0" w:hanging="410"/>
              <w:jc w:val="left"/>
            </w:pPr>
            <w:r>
              <w:rPr>
                <w:rFonts w:ascii="Arial" w:eastAsia="Arial" w:hAnsi="Arial" w:cs="Arial"/>
                <w:sz w:val="18"/>
              </w:rPr>
              <w:t xml:space="preserve">(2.2%) Male </w:t>
            </w:r>
          </w:p>
          <w:p w14:paraId="3E261860" w14:textId="77777777" w:rsidR="006F0DDB" w:rsidRDefault="00000000">
            <w:pPr>
              <w:numPr>
                <w:ilvl w:val="0"/>
                <w:numId w:val="1"/>
              </w:numPr>
              <w:spacing w:after="0" w:line="259" w:lineRule="auto"/>
              <w:ind w:right="0" w:hanging="410"/>
              <w:jc w:val="left"/>
            </w:pPr>
            <w:r>
              <w:rPr>
                <w:rFonts w:ascii="Arial" w:eastAsia="Arial" w:hAnsi="Arial" w:cs="Arial"/>
                <w:sz w:val="18"/>
              </w:rPr>
              <w:t xml:space="preserve">(3.2%) Female </w:t>
            </w:r>
          </w:p>
        </w:tc>
      </w:tr>
      <w:tr w:rsidR="006F0DDB" w14:paraId="227F8B7F"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4FFB0028" w14:textId="77777777" w:rsidR="006F0DDB" w:rsidRDefault="00000000">
            <w:pPr>
              <w:spacing w:after="0" w:line="259" w:lineRule="auto"/>
              <w:ind w:left="285" w:right="0" w:firstLine="0"/>
              <w:jc w:val="left"/>
            </w:pPr>
            <w:r>
              <w:rPr>
                <w:rFonts w:ascii="Arial" w:eastAsia="Arial" w:hAnsi="Arial" w:cs="Arial"/>
                <w:sz w:val="18"/>
              </w:rPr>
              <w:t>Total</w:t>
            </w:r>
          </w:p>
        </w:tc>
        <w:tc>
          <w:tcPr>
            <w:tcW w:w="2640" w:type="dxa"/>
            <w:tcBorders>
              <w:top w:val="single" w:sz="4" w:space="0" w:color="563C80"/>
              <w:left w:val="single" w:sz="4" w:space="0" w:color="563C80"/>
              <w:bottom w:val="single" w:sz="4" w:space="0" w:color="563C80"/>
              <w:right w:val="single" w:sz="4" w:space="0" w:color="563C80"/>
            </w:tcBorders>
          </w:tcPr>
          <w:p w14:paraId="6B41D4EC" w14:textId="77777777" w:rsidR="006F0DDB" w:rsidRDefault="00000000">
            <w:pPr>
              <w:spacing w:after="0" w:line="259" w:lineRule="auto"/>
              <w:ind w:left="0" w:right="0" w:firstLine="0"/>
              <w:jc w:val="left"/>
            </w:pPr>
            <w:r>
              <w:rPr>
                <w:rFonts w:ascii="Arial" w:eastAsia="Arial" w:hAnsi="Arial" w:cs="Arial"/>
                <w:sz w:val="18"/>
              </w:rPr>
              <w:t xml:space="preserve">                </w:t>
            </w:r>
            <w:proofErr w:type="gramStart"/>
            <w:r>
              <w:rPr>
                <w:rFonts w:ascii="Arial" w:eastAsia="Arial" w:hAnsi="Arial" w:cs="Arial"/>
                <w:sz w:val="18"/>
              </w:rPr>
              <w:t>96  (</w:t>
            </w:r>
            <w:proofErr w:type="gramEnd"/>
            <w:r>
              <w:rPr>
                <w:rFonts w:ascii="Arial" w:eastAsia="Arial" w:hAnsi="Arial" w:cs="Arial"/>
                <w:sz w:val="18"/>
              </w:rPr>
              <w:t xml:space="preserve">100.0%) </w:t>
            </w:r>
          </w:p>
        </w:tc>
        <w:tc>
          <w:tcPr>
            <w:tcW w:w="2638" w:type="dxa"/>
            <w:tcBorders>
              <w:top w:val="single" w:sz="4" w:space="0" w:color="563C80"/>
              <w:left w:val="single" w:sz="4" w:space="0" w:color="563C80"/>
              <w:bottom w:val="single" w:sz="4" w:space="0" w:color="563C80"/>
              <w:right w:val="single" w:sz="8" w:space="0" w:color="563C80"/>
            </w:tcBorders>
          </w:tcPr>
          <w:p w14:paraId="57924C22" w14:textId="77777777" w:rsidR="006F0DDB" w:rsidRDefault="00000000">
            <w:pPr>
              <w:spacing w:after="0" w:line="259" w:lineRule="auto"/>
              <w:ind w:left="0" w:right="0" w:firstLine="0"/>
              <w:jc w:val="left"/>
            </w:pPr>
            <w:r>
              <w:rPr>
                <w:rFonts w:ascii="Arial" w:eastAsia="Arial" w:hAnsi="Arial" w:cs="Arial"/>
                <w:sz w:val="18"/>
              </w:rPr>
              <w:t xml:space="preserve">                </w:t>
            </w:r>
            <w:proofErr w:type="gramStart"/>
            <w:r>
              <w:rPr>
                <w:rFonts w:ascii="Arial" w:eastAsia="Arial" w:hAnsi="Arial" w:cs="Arial"/>
                <w:sz w:val="18"/>
              </w:rPr>
              <w:t>93  (</w:t>
            </w:r>
            <w:proofErr w:type="gramEnd"/>
            <w:r>
              <w:rPr>
                <w:rFonts w:ascii="Arial" w:eastAsia="Arial" w:hAnsi="Arial" w:cs="Arial"/>
                <w:sz w:val="18"/>
              </w:rPr>
              <w:t xml:space="preserve">100.0%) </w:t>
            </w:r>
          </w:p>
        </w:tc>
      </w:tr>
      <w:tr w:rsidR="006F0DDB" w14:paraId="24AED26B" w14:textId="77777777">
        <w:trPr>
          <w:trHeight w:val="320"/>
        </w:trPr>
        <w:tc>
          <w:tcPr>
            <w:tcW w:w="4500" w:type="dxa"/>
            <w:tcBorders>
              <w:top w:val="single" w:sz="4" w:space="0" w:color="563C80"/>
              <w:left w:val="single" w:sz="8" w:space="0" w:color="563C80"/>
              <w:bottom w:val="single" w:sz="4" w:space="0" w:color="563C80"/>
              <w:right w:val="nil"/>
            </w:tcBorders>
            <w:shd w:val="clear" w:color="auto" w:fill="C9C9C9"/>
          </w:tcPr>
          <w:p w14:paraId="12174422" w14:textId="77777777" w:rsidR="006F0DDB" w:rsidRDefault="00000000">
            <w:pPr>
              <w:spacing w:after="0" w:line="259" w:lineRule="auto"/>
              <w:ind w:left="45" w:right="0" w:firstLine="0"/>
              <w:jc w:val="left"/>
            </w:pPr>
            <w:r>
              <w:rPr>
                <w:rFonts w:ascii="Arial" w:eastAsia="Arial" w:hAnsi="Arial" w:cs="Arial"/>
                <w:sz w:val="18"/>
              </w:rPr>
              <w:t xml:space="preserve">Catheter by Type and Size </w:t>
            </w:r>
          </w:p>
        </w:tc>
        <w:tc>
          <w:tcPr>
            <w:tcW w:w="2640" w:type="dxa"/>
            <w:tcBorders>
              <w:top w:val="single" w:sz="4" w:space="0" w:color="563C80"/>
              <w:left w:val="nil"/>
              <w:bottom w:val="single" w:sz="4" w:space="0" w:color="563C80"/>
              <w:right w:val="nil"/>
            </w:tcBorders>
            <w:shd w:val="clear" w:color="auto" w:fill="C9C9C9"/>
          </w:tcPr>
          <w:p w14:paraId="219D7A49" w14:textId="77777777" w:rsidR="006F0DDB" w:rsidRDefault="006F0DDB">
            <w:pPr>
              <w:spacing w:after="160" w:line="259" w:lineRule="auto"/>
              <w:ind w:left="0" w:right="0" w:firstLine="0"/>
              <w:jc w:val="left"/>
            </w:pPr>
          </w:p>
        </w:tc>
        <w:tc>
          <w:tcPr>
            <w:tcW w:w="2638" w:type="dxa"/>
            <w:tcBorders>
              <w:top w:val="single" w:sz="4" w:space="0" w:color="563C80"/>
              <w:left w:val="nil"/>
              <w:bottom w:val="single" w:sz="4" w:space="0" w:color="563C80"/>
              <w:right w:val="single" w:sz="8" w:space="0" w:color="563C80"/>
            </w:tcBorders>
            <w:shd w:val="clear" w:color="auto" w:fill="C9C9C9"/>
          </w:tcPr>
          <w:p w14:paraId="31690342" w14:textId="77777777" w:rsidR="006F0DDB" w:rsidRDefault="006F0DDB">
            <w:pPr>
              <w:spacing w:after="160" w:line="259" w:lineRule="auto"/>
              <w:ind w:left="0" w:right="0" w:firstLine="0"/>
              <w:jc w:val="left"/>
            </w:pPr>
          </w:p>
        </w:tc>
      </w:tr>
      <w:tr w:rsidR="006F0DDB" w14:paraId="31353885" w14:textId="77777777">
        <w:trPr>
          <w:trHeight w:val="322"/>
        </w:trPr>
        <w:tc>
          <w:tcPr>
            <w:tcW w:w="4500" w:type="dxa"/>
            <w:tcBorders>
              <w:top w:val="single" w:sz="4" w:space="0" w:color="563C80"/>
              <w:left w:val="single" w:sz="8" w:space="0" w:color="563C80"/>
              <w:bottom w:val="single" w:sz="4" w:space="0" w:color="563C80"/>
              <w:right w:val="nil"/>
            </w:tcBorders>
            <w:shd w:val="clear" w:color="auto" w:fill="D3CBE1"/>
          </w:tcPr>
          <w:p w14:paraId="61CB2BBC" w14:textId="77777777" w:rsidR="006F0DDB" w:rsidRDefault="00000000">
            <w:pPr>
              <w:spacing w:after="0" w:line="259" w:lineRule="auto"/>
              <w:ind w:left="285" w:right="0" w:firstLine="0"/>
              <w:jc w:val="left"/>
            </w:pPr>
            <w:r>
              <w:rPr>
                <w:rFonts w:ascii="Arial" w:eastAsia="Arial" w:hAnsi="Arial" w:cs="Arial"/>
                <w:sz w:val="18"/>
              </w:rPr>
              <w:t>Urethral*</w:t>
            </w:r>
          </w:p>
        </w:tc>
        <w:tc>
          <w:tcPr>
            <w:tcW w:w="2640" w:type="dxa"/>
            <w:tcBorders>
              <w:top w:val="single" w:sz="4" w:space="0" w:color="563C80"/>
              <w:left w:val="nil"/>
              <w:bottom w:val="single" w:sz="4" w:space="0" w:color="563C80"/>
              <w:right w:val="nil"/>
            </w:tcBorders>
            <w:shd w:val="clear" w:color="auto" w:fill="D3CBE1"/>
          </w:tcPr>
          <w:p w14:paraId="4A59B578" w14:textId="77777777" w:rsidR="006F0DDB" w:rsidRDefault="006F0DDB">
            <w:pPr>
              <w:spacing w:after="160" w:line="259" w:lineRule="auto"/>
              <w:ind w:left="0" w:right="0" w:firstLine="0"/>
              <w:jc w:val="left"/>
            </w:pPr>
          </w:p>
        </w:tc>
        <w:tc>
          <w:tcPr>
            <w:tcW w:w="2638" w:type="dxa"/>
            <w:tcBorders>
              <w:top w:val="single" w:sz="4" w:space="0" w:color="563C80"/>
              <w:left w:val="nil"/>
              <w:bottom w:val="single" w:sz="4" w:space="0" w:color="563C80"/>
              <w:right w:val="single" w:sz="8" w:space="0" w:color="563C80"/>
            </w:tcBorders>
            <w:shd w:val="clear" w:color="auto" w:fill="D3CBE1"/>
          </w:tcPr>
          <w:p w14:paraId="6E93A531" w14:textId="77777777" w:rsidR="006F0DDB" w:rsidRDefault="006F0DDB">
            <w:pPr>
              <w:spacing w:after="160" w:line="259" w:lineRule="auto"/>
              <w:ind w:left="0" w:right="0" w:firstLine="0"/>
              <w:jc w:val="left"/>
            </w:pPr>
          </w:p>
        </w:tc>
      </w:tr>
      <w:tr w:rsidR="006F0DDB" w14:paraId="46E78A8A" w14:textId="77777777">
        <w:trPr>
          <w:trHeight w:val="320"/>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61C6198F" w14:textId="77777777" w:rsidR="006F0DDB" w:rsidRDefault="00000000">
            <w:pPr>
              <w:spacing w:after="0" w:line="259" w:lineRule="auto"/>
              <w:ind w:left="525" w:right="0" w:firstLine="0"/>
              <w:jc w:val="left"/>
            </w:pPr>
            <w:r>
              <w:rPr>
                <w:rFonts w:ascii="Arial" w:eastAsia="Arial" w:hAnsi="Arial" w:cs="Arial"/>
                <w:sz w:val="18"/>
              </w:rPr>
              <w:t>12 Fr</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07CF7B96" w14:textId="77777777" w:rsidR="006F0DDB" w:rsidRDefault="00000000">
            <w:pPr>
              <w:spacing w:after="0" w:line="259" w:lineRule="auto"/>
              <w:ind w:left="2" w:right="0" w:firstLine="0"/>
              <w:jc w:val="left"/>
            </w:pPr>
            <w:r>
              <w:rPr>
                <w:rFonts w:ascii="Arial" w:eastAsia="Arial" w:hAnsi="Arial" w:cs="Arial"/>
                <w:sz w:val="18"/>
              </w:rPr>
              <w:t xml:space="preserve">                  5 </w:t>
            </w:r>
            <w:proofErr w:type="gramStart"/>
            <w:r>
              <w:rPr>
                <w:rFonts w:ascii="Arial" w:eastAsia="Arial" w:hAnsi="Arial" w:cs="Arial"/>
                <w:sz w:val="18"/>
              </w:rPr>
              <w:t xml:space="preserve">   (</w:t>
            </w:r>
            <w:proofErr w:type="gramEnd"/>
            <w:r>
              <w:rPr>
                <w:rFonts w:ascii="Arial" w:eastAsia="Arial" w:hAnsi="Arial" w:cs="Arial"/>
                <w:sz w:val="18"/>
              </w:rPr>
              <w:t xml:space="preserve">14.7%)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3DC4EDE7" w14:textId="77777777" w:rsidR="006F0DDB" w:rsidRDefault="00000000">
            <w:pPr>
              <w:spacing w:after="0" w:line="259" w:lineRule="auto"/>
              <w:ind w:left="0" w:right="0" w:firstLine="0"/>
              <w:jc w:val="left"/>
            </w:pPr>
            <w:r>
              <w:rPr>
                <w:rFonts w:ascii="Arial" w:eastAsia="Arial" w:hAnsi="Arial" w:cs="Arial"/>
                <w:sz w:val="18"/>
              </w:rPr>
              <w:t xml:space="preserve">                52 </w:t>
            </w:r>
            <w:proofErr w:type="gramStart"/>
            <w:r>
              <w:rPr>
                <w:rFonts w:ascii="Arial" w:eastAsia="Arial" w:hAnsi="Arial" w:cs="Arial"/>
                <w:sz w:val="18"/>
              </w:rPr>
              <w:t xml:space="preserve">   (</w:t>
            </w:r>
            <w:proofErr w:type="gramEnd"/>
            <w:r>
              <w:rPr>
                <w:rFonts w:ascii="Arial" w:eastAsia="Arial" w:hAnsi="Arial" w:cs="Arial"/>
                <w:sz w:val="18"/>
              </w:rPr>
              <w:t xml:space="preserve">59.1%) </w:t>
            </w:r>
          </w:p>
        </w:tc>
      </w:tr>
      <w:tr w:rsidR="006F0DDB" w14:paraId="31B9B775"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3BBA9EE2" w14:textId="77777777" w:rsidR="006F0DDB" w:rsidRDefault="00000000">
            <w:pPr>
              <w:spacing w:after="0" w:line="259" w:lineRule="auto"/>
              <w:ind w:left="525" w:right="0" w:firstLine="0"/>
              <w:jc w:val="left"/>
            </w:pPr>
            <w:r>
              <w:rPr>
                <w:rFonts w:ascii="Arial" w:eastAsia="Arial" w:hAnsi="Arial" w:cs="Arial"/>
                <w:sz w:val="18"/>
              </w:rPr>
              <w:t>14 Fr</w:t>
            </w:r>
          </w:p>
        </w:tc>
        <w:tc>
          <w:tcPr>
            <w:tcW w:w="2640" w:type="dxa"/>
            <w:tcBorders>
              <w:top w:val="single" w:sz="4" w:space="0" w:color="563C80"/>
              <w:left w:val="single" w:sz="4" w:space="0" w:color="563C80"/>
              <w:bottom w:val="single" w:sz="4" w:space="0" w:color="563C80"/>
              <w:right w:val="single" w:sz="4" w:space="0" w:color="563C80"/>
            </w:tcBorders>
          </w:tcPr>
          <w:p w14:paraId="016E1A46"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2.9%) </w:t>
            </w:r>
          </w:p>
        </w:tc>
        <w:tc>
          <w:tcPr>
            <w:tcW w:w="2638" w:type="dxa"/>
            <w:tcBorders>
              <w:top w:val="single" w:sz="4" w:space="0" w:color="563C80"/>
              <w:left w:val="single" w:sz="4" w:space="0" w:color="563C80"/>
              <w:bottom w:val="single" w:sz="4" w:space="0" w:color="563C80"/>
              <w:right w:val="single" w:sz="8" w:space="0" w:color="563C80"/>
            </w:tcBorders>
          </w:tcPr>
          <w:p w14:paraId="77F29E8E" w14:textId="77777777" w:rsidR="006F0DDB" w:rsidRDefault="00000000">
            <w:pPr>
              <w:spacing w:after="0" w:line="259" w:lineRule="auto"/>
              <w:ind w:left="0" w:right="0" w:firstLine="0"/>
              <w:jc w:val="left"/>
            </w:pPr>
            <w:r>
              <w:rPr>
                <w:rFonts w:ascii="Arial" w:eastAsia="Arial" w:hAnsi="Arial" w:cs="Arial"/>
                <w:sz w:val="18"/>
              </w:rPr>
              <w:t xml:space="preserve">                28 </w:t>
            </w:r>
            <w:proofErr w:type="gramStart"/>
            <w:r>
              <w:rPr>
                <w:rFonts w:ascii="Arial" w:eastAsia="Arial" w:hAnsi="Arial" w:cs="Arial"/>
                <w:sz w:val="18"/>
              </w:rPr>
              <w:t xml:space="preserve">   (</w:t>
            </w:r>
            <w:proofErr w:type="gramEnd"/>
            <w:r>
              <w:rPr>
                <w:rFonts w:ascii="Arial" w:eastAsia="Arial" w:hAnsi="Arial" w:cs="Arial"/>
                <w:sz w:val="18"/>
              </w:rPr>
              <w:t xml:space="preserve">31.8%) </w:t>
            </w:r>
          </w:p>
        </w:tc>
      </w:tr>
      <w:tr w:rsidR="006F0DDB" w14:paraId="4F0C3C70"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3CBFCAE9" w14:textId="77777777" w:rsidR="006F0DDB" w:rsidRDefault="00000000">
            <w:pPr>
              <w:spacing w:after="0" w:line="259" w:lineRule="auto"/>
              <w:ind w:left="525" w:right="0" w:firstLine="0"/>
              <w:jc w:val="left"/>
            </w:pPr>
            <w:r>
              <w:rPr>
                <w:rFonts w:ascii="Arial" w:eastAsia="Arial" w:hAnsi="Arial" w:cs="Arial"/>
                <w:sz w:val="18"/>
              </w:rPr>
              <w:t>16 Fr</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24D82A75" w14:textId="77777777" w:rsidR="006F0DDB" w:rsidRDefault="00000000">
            <w:pPr>
              <w:spacing w:after="0" w:line="259" w:lineRule="auto"/>
              <w:ind w:left="0" w:right="0" w:firstLine="0"/>
              <w:jc w:val="left"/>
            </w:pPr>
            <w:r>
              <w:rPr>
                <w:rFonts w:ascii="Arial" w:eastAsia="Arial" w:hAnsi="Arial" w:cs="Arial"/>
                <w:sz w:val="18"/>
              </w:rPr>
              <w:t xml:space="preserve">                18 </w:t>
            </w:r>
            <w:proofErr w:type="gramStart"/>
            <w:r>
              <w:rPr>
                <w:rFonts w:ascii="Arial" w:eastAsia="Arial" w:hAnsi="Arial" w:cs="Arial"/>
                <w:sz w:val="18"/>
              </w:rPr>
              <w:t xml:space="preserve">   (</w:t>
            </w:r>
            <w:proofErr w:type="gramEnd"/>
            <w:r>
              <w:rPr>
                <w:rFonts w:ascii="Arial" w:eastAsia="Arial" w:hAnsi="Arial" w:cs="Arial"/>
                <w:sz w:val="18"/>
              </w:rPr>
              <w:t xml:space="preserve">52.9%)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13E18DDE" w14:textId="77777777" w:rsidR="006F0DDB" w:rsidRDefault="00000000">
            <w:pPr>
              <w:spacing w:after="0" w:line="259" w:lineRule="auto"/>
              <w:ind w:left="2" w:right="0" w:firstLine="0"/>
              <w:jc w:val="left"/>
            </w:pPr>
            <w:r>
              <w:rPr>
                <w:rFonts w:ascii="Arial" w:eastAsia="Arial" w:hAnsi="Arial" w:cs="Arial"/>
                <w:sz w:val="18"/>
              </w:rPr>
              <w:t xml:space="preserve">                  6   </w:t>
            </w:r>
            <w:proofErr w:type="gramStart"/>
            <w:r>
              <w:rPr>
                <w:rFonts w:ascii="Arial" w:eastAsia="Arial" w:hAnsi="Arial" w:cs="Arial"/>
                <w:sz w:val="18"/>
              </w:rPr>
              <w:t xml:space="preserve">   (</w:t>
            </w:r>
            <w:proofErr w:type="gramEnd"/>
            <w:r>
              <w:rPr>
                <w:rFonts w:ascii="Arial" w:eastAsia="Arial" w:hAnsi="Arial" w:cs="Arial"/>
                <w:sz w:val="18"/>
              </w:rPr>
              <w:t xml:space="preserve">6.8%) </w:t>
            </w:r>
          </w:p>
        </w:tc>
      </w:tr>
      <w:tr w:rsidR="006F0DDB" w14:paraId="2DEB528B"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237776C5" w14:textId="77777777" w:rsidR="006F0DDB" w:rsidRDefault="00000000">
            <w:pPr>
              <w:spacing w:after="0" w:line="259" w:lineRule="auto"/>
              <w:ind w:left="525" w:right="0" w:firstLine="0"/>
              <w:jc w:val="left"/>
            </w:pPr>
            <w:r>
              <w:rPr>
                <w:rFonts w:ascii="Arial" w:eastAsia="Arial" w:hAnsi="Arial" w:cs="Arial"/>
                <w:sz w:val="18"/>
              </w:rPr>
              <w:t>18 Fr</w:t>
            </w:r>
          </w:p>
        </w:tc>
        <w:tc>
          <w:tcPr>
            <w:tcW w:w="2640" w:type="dxa"/>
            <w:tcBorders>
              <w:top w:val="single" w:sz="4" w:space="0" w:color="563C80"/>
              <w:left w:val="single" w:sz="4" w:space="0" w:color="563C80"/>
              <w:bottom w:val="single" w:sz="4" w:space="0" w:color="563C80"/>
              <w:right w:val="single" w:sz="4" w:space="0" w:color="563C80"/>
            </w:tcBorders>
          </w:tcPr>
          <w:p w14:paraId="3914347D" w14:textId="77777777" w:rsidR="006F0DDB" w:rsidRDefault="00000000">
            <w:pPr>
              <w:spacing w:after="0" w:line="259" w:lineRule="auto"/>
              <w:ind w:left="2" w:right="0" w:firstLine="0"/>
              <w:jc w:val="left"/>
            </w:pPr>
            <w:r>
              <w:rPr>
                <w:rFonts w:ascii="Arial" w:eastAsia="Arial" w:hAnsi="Arial" w:cs="Arial"/>
                <w:sz w:val="18"/>
              </w:rPr>
              <w:t xml:space="preserve">                  6 </w:t>
            </w:r>
            <w:proofErr w:type="gramStart"/>
            <w:r>
              <w:rPr>
                <w:rFonts w:ascii="Arial" w:eastAsia="Arial" w:hAnsi="Arial" w:cs="Arial"/>
                <w:sz w:val="18"/>
              </w:rPr>
              <w:t xml:space="preserve">   (</w:t>
            </w:r>
            <w:proofErr w:type="gramEnd"/>
            <w:r>
              <w:rPr>
                <w:rFonts w:ascii="Arial" w:eastAsia="Arial" w:hAnsi="Arial" w:cs="Arial"/>
                <w:sz w:val="18"/>
              </w:rPr>
              <w:t xml:space="preserve">17.6%) </w:t>
            </w:r>
          </w:p>
        </w:tc>
        <w:tc>
          <w:tcPr>
            <w:tcW w:w="2638" w:type="dxa"/>
            <w:tcBorders>
              <w:top w:val="single" w:sz="4" w:space="0" w:color="563C80"/>
              <w:left w:val="single" w:sz="4" w:space="0" w:color="563C80"/>
              <w:bottom w:val="single" w:sz="4" w:space="0" w:color="563C80"/>
              <w:right w:val="single" w:sz="8" w:space="0" w:color="563C80"/>
            </w:tcBorders>
          </w:tcPr>
          <w:p w14:paraId="572E7FD7" w14:textId="77777777" w:rsidR="006F0DDB" w:rsidRDefault="00000000">
            <w:pPr>
              <w:spacing w:after="0" w:line="259" w:lineRule="auto"/>
              <w:ind w:left="47" w:right="0" w:firstLine="0"/>
              <w:jc w:val="center"/>
            </w:pPr>
            <w:r>
              <w:rPr>
                <w:rFonts w:ascii="Arial" w:eastAsia="Arial" w:hAnsi="Arial" w:cs="Arial"/>
                <w:sz w:val="18"/>
              </w:rPr>
              <w:t xml:space="preserve">__ </w:t>
            </w:r>
          </w:p>
        </w:tc>
      </w:tr>
      <w:tr w:rsidR="006F0DDB" w14:paraId="41143519"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37CA6681" w14:textId="77777777" w:rsidR="006F0DDB" w:rsidRDefault="00000000">
            <w:pPr>
              <w:spacing w:after="0" w:line="259" w:lineRule="auto"/>
              <w:ind w:left="525" w:right="0" w:firstLine="0"/>
              <w:jc w:val="left"/>
            </w:pPr>
            <w:r>
              <w:rPr>
                <w:rFonts w:ascii="Arial" w:eastAsia="Arial" w:hAnsi="Arial" w:cs="Arial"/>
                <w:sz w:val="18"/>
              </w:rPr>
              <w:t>20 Fr</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6ACB2BB1" w14:textId="77777777" w:rsidR="006F0DDB" w:rsidRDefault="00000000">
            <w:pPr>
              <w:spacing w:after="0" w:line="259" w:lineRule="auto"/>
              <w:ind w:left="2" w:right="0" w:firstLine="0"/>
              <w:jc w:val="left"/>
            </w:pPr>
            <w:r>
              <w:rPr>
                <w:rFonts w:ascii="Arial" w:eastAsia="Arial" w:hAnsi="Arial" w:cs="Arial"/>
                <w:sz w:val="18"/>
              </w:rPr>
              <w:t xml:space="preserve">                  2   </w:t>
            </w:r>
            <w:proofErr w:type="gramStart"/>
            <w:r>
              <w:rPr>
                <w:rFonts w:ascii="Arial" w:eastAsia="Arial" w:hAnsi="Arial" w:cs="Arial"/>
                <w:sz w:val="18"/>
              </w:rPr>
              <w:t xml:space="preserve">   (</w:t>
            </w:r>
            <w:proofErr w:type="gramEnd"/>
            <w:r>
              <w:rPr>
                <w:rFonts w:ascii="Arial" w:eastAsia="Arial" w:hAnsi="Arial" w:cs="Arial"/>
                <w:sz w:val="18"/>
              </w:rPr>
              <w:t xml:space="preserve">5.9%)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0F58146C"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1.1%) </w:t>
            </w:r>
          </w:p>
        </w:tc>
      </w:tr>
      <w:tr w:rsidR="006F0DDB" w14:paraId="17BCAA22" w14:textId="77777777">
        <w:trPr>
          <w:trHeight w:val="323"/>
        </w:trPr>
        <w:tc>
          <w:tcPr>
            <w:tcW w:w="4500" w:type="dxa"/>
            <w:tcBorders>
              <w:top w:val="single" w:sz="4" w:space="0" w:color="563C80"/>
              <w:left w:val="single" w:sz="8" w:space="0" w:color="563C80"/>
              <w:bottom w:val="single" w:sz="8" w:space="0" w:color="563C80"/>
              <w:right w:val="single" w:sz="4" w:space="0" w:color="563C80"/>
            </w:tcBorders>
          </w:tcPr>
          <w:p w14:paraId="3F45CCF5" w14:textId="77777777" w:rsidR="006F0DDB" w:rsidRDefault="00000000">
            <w:pPr>
              <w:spacing w:after="0" w:line="259" w:lineRule="auto"/>
              <w:ind w:left="525" w:right="0" w:firstLine="0"/>
              <w:jc w:val="left"/>
            </w:pPr>
            <w:r>
              <w:rPr>
                <w:rFonts w:ascii="Arial" w:eastAsia="Arial" w:hAnsi="Arial" w:cs="Arial"/>
                <w:sz w:val="18"/>
              </w:rPr>
              <w:t>Unknown</w:t>
            </w:r>
          </w:p>
        </w:tc>
        <w:tc>
          <w:tcPr>
            <w:tcW w:w="2640" w:type="dxa"/>
            <w:tcBorders>
              <w:top w:val="single" w:sz="4" w:space="0" w:color="563C80"/>
              <w:left w:val="single" w:sz="4" w:space="0" w:color="563C80"/>
              <w:bottom w:val="single" w:sz="8" w:space="0" w:color="563C80"/>
              <w:right w:val="single" w:sz="4" w:space="0" w:color="563C80"/>
            </w:tcBorders>
          </w:tcPr>
          <w:p w14:paraId="73D4BAC7" w14:textId="77777777" w:rsidR="006F0DDB" w:rsidRDefault="00000000">
            <w:pPr>
              <w:spacing w:after="0" w:line="259" w:lineRule="auto"/>
              <w:ind w:left="2" w:right="0" w:firstLine="0"/>
              <w:jc w:val="left"/>
            </w:pPr>
            <w:r>
              <w:rPr>
                <w:rFonts w:ascii="Arial" w:eastAsia="Arial" w:hAnsi="Arial" w:cs="Arial"/>
                <w:sz w:val="18"/>
              </w:rPr>
              <w:t xml:space="preserve">                  2   </w:t>
            </w:r>
            <w:proofErr w:type="gramStart"/>
            <w:r>
              <w:rPr>
                <w:rFonts w:ascii="Arial" w:eastAsia="Arial" w:hAnsi="Arial" w:cs="Arial"/>
                <w:sz w:val="18"/>
              </w:rPr>
              <w:t xml:space="preserve">   (</w:t>
            </w:r>
            <w:proofErr w:type="gramEnd"/>
            <w:r>
              <w:rPr>
                <w:rFonts w:ascii="Arial" w:eastAsia="Arial" w:hAnsi="Arial" w:cs="Arial"/>
                <w:sz w:val="18"/>
              </w:rPr>
              <w:t>5.9%)</w:t>
            </w:r>
          </w:p>
        </w:tc>
        <w:tc>
          <w:tcPr>
            <w:tcW w:w="2638" w:type="dxa"/>
            <w:tcBorders>
              <w:top w:val="single" w:sz="4" w:space="0" w:color="563C80"/>
              <w:left w:val="single" w:sz="4" w:space="0" w:color="563C80"/>
              <w:bottom w:val="single" w:sz="8" w:space="0" w:color="563C80"/>
              <w:right w:val="single" w:sz="8" w:space="0" w:color="563C80"/>
            </w:tcBorders>
          </w:tcPr>
          <w:p w14:paraId="430E5416" w14:textId="77777777" w:rsidR="006F0DDB" w:rsidRDefault="00000000">
            <w:pPr>
              <w:spacing w:after="0" w:line="259" w:lineRule="auto"/>
              <w:ind w:left="2"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1.1%)</w:t>
            </w:r>
          </w:p>
        </w:tc>
      </w:tr>
    </w:tbl>
    <w:p w14:paraId="3BD7A189" w14:textId="77777777" w:rsidR="006F0DDB" w:rsidRDefault="00000000">
      <w:pPr>
        <w:spacing w:after="0" w:line="259" w:lineRule="auto"/>
        <w:ind w:left="2990" w:right="2926" w:hanging="10"/>
        <w:jc w:val="center"/>
      </w:pPr>
      <w:r>
        <w:rPr>
          <w:rFonts w:ascii="Arial" w:eastAsia="Arial" w:hAnsi="Arial" w:cs="Arial"/>
        </w:rPr>
        <w:t>Table 2. (continued) Participant Characteristics</w:t>
      </w:r>
    </w:p>
    <w:tbl>
      <w:tblPr>
        <w:tblStyle w:val="TableGrid"/>
        <w:tblW w:w="9778" w:type="dxa"/>
        <w:tblInd w:w="-478" w:type="dxa"/>
        <w:tblCellMar>
          <w:top w:w="80" w:type="dxa"/>
          <w:left w:w="5" w:type="dxa"/>
          <w:bottom w:w="0" w:type="dxa"/>
          <w:right w:w="115" w:type="dxa"/>
        </w:tblCellMar>
        <w:tblLook w:val="04A0" w:firstRow="1" w:lastRow="0" w:firstColumn="1" w:lastColumn="0" w:noHBand="0" w:noVBand="1"/>
      </w:tblPr>
      <w:tblGrid>
        <w:gridCol w:w="4500"/>
        <w:gridCol w:w="2640"/>
        <w:gridCol w:w="2638"/>
      </w:tblGrid>
      <w:tr w:rsidR="006F0DDB" w14:paraId="091CA6D3" w14:textId="77777777">
        <w:trPr>
          <w:trHeight w:val="319"/>
        </w:trPr>
        <w:tc>
          <w:tcPr>
            <w:tcW w:w="4500" w:type="dxa"/>
            <w:tcBorders>
              <w:top w:val="single" w:sz="8" w:space="0" w:color="563C80"/>
              <w:left w:val="single" w:sz="8" w:space="0" w:color="563C80"/>
              <w:bottom w:val="single" w:sz="4" w:space="0" w:color="563C80"/>
              <w:right w:val="single" w:sz="4" w:space="0" w:color="563C80"/>
            </w:tcBorders>
            <w:shd w:val="clear" w:color="auto" w:fill="D3CBE1"/>
          </w:tcPr>
          <w:p w14:paraId="5A5CCDAC" w14:textId="77777777" w:rsidR="006F0DDB" w:rsidRDefault="006F0DDB">
            <w:pPr>
              <w:spacing w:after="160" w:line="259" w:lineRule="auto"/>
              <w:ind w:left="0" w:right="0" w:firstLine="0"/>
              <w:jc w:val="left"/>
            </w:pPr>
          </w:p>
        </w:tc>
        <w:tc>
          <w:tcPr>
            <w:tcW w:w="2640" w:type="dxa"/>
            <w:tcBorders>
              <w:top w:val="single" w:sz="8" w:space="0" w:color="563C80"/>
              <w:left w:val="single" w:sz="4" w:space="0" w:color="563C80"/>
              <w:bottom w:val="single" w:sz="4" w:space="0" w:color="563C80"/>
              <w:right w:val="single" w:sz="4" w:space="0" w:color="563C80"/>
            </w:tcBorders>
            <w:shd w:val="clear" w:color="auto" w:fill="D3CBE1"/>
          </w:tcPr>
          <w:p w14:paraId="354B3593" w14:textId="77777777" w:rsidR="006F0DDB" w:rsidRDefault="00000000">
            <w:pPr>
              <w:spacing w:after="0" w:line="259" w:lineRule="auto"/>
              <w:ind w:left="110" w:right="0" w:firstLine="0"/>
              <w:jc w:val="center"/>
            </w:pPr>
            <w:r>
              <w:rPr>
                <w:rFonts w:ascii="Arial" w:eastAsia="Arial" w:hAnsi="Arial" w:cs="Arial"/>
                <w:sz w:val="18"/>
              </w:rPr>
              <w:t xml:space="preserve">United States </w:t>
            </w:r>
            <w:r>
              <w:rPr>
                <w:rFonts w:ascii="Arial" w:eastAsia="Arial" w:hAnsi="Arial" w:cs="Arial"/>
                <w:i/>
                <w:sz w:val="18"/>
              </w:rPr>
              <w:t>N</w:t>
            </w:r>
            <w:r>
              <w:rPr>
                <w:rFonts w:ascii="Arial" w:eastAsia="Arial" w:hAnsi="Arial" w:cs="Arial"/>
                <w:sz w:val="18"/>
              </w:rPr>
              <w:t xml:space="preserve"> (%) </w:t>
            </w:r>
          </w:p>
        </w:tc>
        <w:tc>
          <w:tcPr>
            <w:tcW w:w="2638" w:type="dxa"/>
            <w:tcBorders>
              <w:top w:val="single" w:sz="8" w:space="0" w:color="563C80"/>
              <w:left w:val="single" w:sz="4" w:space="0" w:color="563C80"/>
              <w:bottom w:val="single" w:sz="4" w:space="0" w:color="563C80"/>
              <w:right w:val="single" w:sz="8" w:space="0" w:color="563C80"/>
            </w:tcBorders>
            <w:shd w:val="clear" w:color="auto" w:fill="D3CBE1"/>
          </w:tcPr>
          <w:p w14:paraId="21530612" w14:textId="77777777" w:rsidR="006F0DDB" w:rsidRDefault="00000000">
            <w:pPr>
              <w:spacing w:after="0" w:line="259" w:lineRule="auto"/>
              <w:ind w:left="108" w:right="0" w:firstLine="0"/>
              <w:jc w:val="center"/>
            </w:pPr>
            <w:r>
              <w:rPr>
                <w:rFonts w:ascii="Arial" w:eastAsia="Arial" w:hAnsi="Arial" w:cs="Arial"/>
                <w:sz w:val="18"/>
              </w:rPr>
              <w:t xml:space="preserve">United Kingdom </w:t>
            </w:r>
            <w:r>
              <w:rPr>
                <w:rFonts w:ascii="Arial" w:eastAsia="Arial" w:hAnsi="Arial" w:cs="Arial"/>
                <w:i/>
                <w:sz w:val="18"/>
              </w:rPr>
              <w:t>N</w:t>
            </w:r>
            <w:r>
              <w:rPr>
                <w:rFonts w:ascii="Arial" w:eastAsia="Arial" w:hAnsi="Arial" w:cs="Arial"/>
                <w:sz w:val="18"/>
              </w:rPr>
              <w:t xml:space="preserve"> (%) </w:t>
            </w:r>
          </w:p>
        </w:tc>
      </w:tr>
      <w:tr w:rsidR="006F0DDB" w14:paraId="7269EB94" w14:textId="77777777">
        <w:trPr>
          <w:trHeight w:val="322"/>
        </w:trPr>
        <w:tc>
          <w:tcPr>
            <w:tcW w:w="4500" w:type="dxa"/>
            <w:tcBorders>
              <w:top w:val="single" w:sz="4" w:space="0" w:color="563C80"/>
              <w:left w:val="single" w:sz="8" w:space="0" w:color="563C80"/>
              <w:bottom w:val="single" w:sz="4" w:space="0" w:color="563C80"/>
              <w:right w:val="nil"/>
            </w:tcBorders>
            <w:shd w:val="clear" w:color="auto" w:fill="C9C9C9"/>
          </w:tcPr>
          <w:p w14:paraId="2B38AEAA" w14:textId="77777777" w:rsidR="006F0DDB" w:rsidRDefault="00000000">
            <w:pPr>
              <w:spacing w:after="0" w:line="259" w:lineRule="auto"/>
              <w:ind w:left="82" w:right="0" w:firstLine="0"/>
              <w:jc w:val="left"/>
            </w:pPr>
            <w:r>
              <w:rPr>
                <w:rFonts w:ascii="Arial" w:eastAsia="Arial" w:hAnsi="Arial" w:cs="Arial"/>
                <w:sz w:val="18"/>
              </w:rPr>
              <w:t>Catheter by Type and Size (continued)</w:t>
            </w:r>
          </w:p>
        </w:tc>
        <w:tc>
          <w:tcPr>
            <w:tcW w:w="2640" w:type="dxa"/>
            <w:tcBorders>
              <w:top w:val="single" w:sz="4" w:space="0" w:color="563C80"/>
              <w:left w:val="nil"/>
              <w:bottom w:val="single" w:sz="4" w:space="0" w:color="563C80"/>
              <w:right w:val="nil"/>
            </w:tcBorders>
            <w:shd w:val="clear" w:color="auto" w:fill="C9C9C9"/>
          </w:tcPr>
          <w:p w14:paraId="38918A92" w14:textId="77777777" w:rsidR="006F0DDB" w:rsidRDefault="006F0DDB">
            <w:pPr>
              <w:spacing w:after="160" w:line="259" w:lineRule="auto"/>
              <w:ind w:left="0" w:right="0" w:firstLine="0"/>
              <w:jc w:val="left"/>
            </w:pPr>
          </w:p>
        </w:tc>
        <w:tc>
          <w:tcPr>
            <w:tcW w:w="2638" w:type="dxa"/>
            <w:tcBorders>
              <w:top w:val="single" w:sz="4" w:space="0" w:color="563C80"/>
              <w:left w:val="nil"/>
              <w:bottom w:val="single" w:sz="4" w:space="0" w:color="563C80"/>
              <w:right w:val="single" w:sz="8" w:space="0" w:color="563C80"/>
            </w:tcBorders>
            <w:shd w:val="clear" w:color="auto" w:fill="C9C9C9"/>
          </w:tcPr>
          <w:p w14:paraId="427DE293" w14:textId="77777777" w:rsidR="006F0DDB" w:rsidRDefault="006F0DDB">
            <w:pPr>
              <w:spacing w:after="160" w:line="259" w:lineRule="auto"/>
              <w:ind w:left="0" w:right="0" w:firstLine="0"/>
              <w:jc w:val="left"/>
            </w:pPr>
          </w:p>
        </w:tc>
      </w:tr>
      <w:tr w:rsidR="006F0DDB" w14:paraId="08A6F417" w14:textId="77777777">
        <w:trPr>
          <w:trHeight w:val="320"/>
        </w:trPr>
        <w:tc>
          <w:tcPr>
            <w:tcW w:w="4500" w:type="dxa"/>
            <w:tcBorders>
              <w:top w:val="single" w:sz="4" w:space="0" w:color="563C80"/>
              <w:left w:val="single" w:sz="8" w:space="0" w:color="563C80"/>
              <w:bottom w:val="single" w:sz="4" w:space="0" w:color="563C80"/>
              <w:right w:val="nil"/>
            </w:tcBorders>
            <w:shd w:val="clear" w:color="auto" w:fill="D3CBE1"/>
          </w:tcPr>
          <w:p w14:paraId="647F8639" w14:textId="77777777" w:rsidR="006F0DDB" w:rsidRDefault="00000000">
            <w:pPr>
              <w:spacing w:after="0" w:line="259" w:lineRule="auto"/>
              <w:ind w:left="322" w:right="0" w:firstLine="0"/>
              <w:jc w:val="left"/>
            </w:pPr>
            <w:r>
              <w:rPr>
                <w:rFonts w:ascii="Arial" w:eastAsia="Arial" w:hAnsi="Arial" w:cs="Arial"/>
                <w:sz w:val="18"/>
              </w:rPr>
              <w:t xml:space="preserve">Suprapubic </w:t>
            </w:r>
          </w:p>
        </w:tc>
        <w:tc>
          <w:tcPr>
            <w:tcW w:w="2640" w:type="dxa"/>
            <w:tcBorders>
              <w:top w:val="single" w:sz="4" w:space="0" w:color="563C80"/>
              <w:left w:val="nil"/>
              <w:bottom w:val="single" w:sz="4" w:space="0" w:color="563C80"/>
              <w:right w:val="nil"/>
            </w:tcBorders>
            <w:shd w:val="clear" w:color="auto" w:fill="D3CBE1"/>
          </w:tcPr>
          <w:p w14:paraId="0B4D237C" w14:textId="77777777" w:rsidR="006F0DDB" w:rsidRDefault="006F0DDB">
            <w:pPr>
              <w:spacing w:after="160" w:line="259" w:lineRule="auto"/>
              <w:ind w:left="0" w:right="0" w:firstLine="0"/>
              <w:jc w:val="left"/>
            </w:pPr>
          </w:p>
        </w:tc>
        <w:tc>
          <w:tcPr>
            <w:tcW w:w="2638" w:type="dxa"/>
            <w:tcBorders>
              <w:top w:val="single" w:sz="4" w:space="0" w:color="563C80"/>
              <w:left w:val="nil"/>
              <w:bottom w:val="single" w:sz="4" w:space="0" w:color="563C80"/>
              <w:right w:val="single" w:sz="8" w:space="0" w:color="563C80"/>
            </w:tcBorders>
            <w:shd w:val="clear" w:color="auto" w:fill="D3CBE1"/>
          </w:tcPr>
          <w:p w14:paraId="2956F94E" w14:textId="77777777" w:rsidR="006F0DDB" w:rsidRDefault="006F0DDB">
            <w:pPr>
              <w:spacing w:after="160" w:line="259" w:lineRule="auto"/>
              <w:ind w:left="0" w:right="0" w:firstLine="0"/>
              <w:jc w:val="left"/>
            </w:pPr>
          </w:p>
        </w:tc>
      </w:tr>
      <w:tr w:rsidR="006F0DDB" w14:paraId="40793AD3"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07EEC62A" w14:textId="77777777" w:rsidR="006F0DDB" w:rsidRDefault="00000000">
            <w:pPr>
              <w:spacing w:after="0" w:line="259" w:lineRule="auto"/>
              <w:ind w:left="562" w:right="0" w:firstLine="0"/>
              <w:jc w:val="left"/>
            </w:pPr>
            <w:r>
              <w:rPr>
                <w:rFonts w:ascii="Arial" w:eastAsia="Arial" w:hAnsi="Arial" w:cs="Arial"/>
                <w:sz w:val="18"/>
              </w:rPr>
              <w:t xml:space="preserve">12 Fr </w:t>
            </w:r>
          </w:p>
        </w:tc>
        <w:tc>
          <w:tcPr>
            <w:tcW w:w="2640" w:type="dxa"/>
            <w:tcBorders>
              <w:top w:val="single" w:sz="4" w:space="0" w:color="563C80"/>
              <w:left w:val="single" w:sz="4" w:space="0" w:color="563C80"/>
              <w:bottom w:val="single" w:sz="4" w:space="0" w:color="563C80"/>
              <w:right w:val="single" w:sz="4" w:space="0" w:color="563C80"/>
            </w:tcBorders>
          </w:tcPr>
          <w:p w14:paraId="6E34E863" w14:textId="77777777" w:rsidR="006F0DDB" w:rsidRDefault="00000000">
            <w:pPr>
              <w:spacing w:after="0" w:line="259" w:lineRule="auto"/>
              <w:ind w:left="39" w:right="0" w:firstLine="0"/>
              <w:jc w:val="left"/>
            </w:pPr>
            <w:r>
              <w:rPr>
                <w:rFonts w:ascii="Arial" w:eastAsia="Arial" w:hAnsi="Arial" w:cs="Arial"/>
                <w:sz w:val="18"/>
              </w:rPr>
              <w:t xml:space="preserve">                  8 </w:t>
            </w:r>
            <w:proofErr w:type="gramStart"/>
            <w:r>
              <w:rPr>
                <w:rFonts w:ascii="Arial" w:eastAsia="Arial" w:hAnsi="Arial" w:cs="Arial"/>
                <w:sz w:val="18"/>
              </w:rPr>
              <w:t xml:space="preserve">   (</w:t>
            </w:r>
            <w:proofErr w:type="gramEnd"/>
            <w:r>
              <w:rPr>
                <w:rFonts w:ascii="Arial" w:eastAsia="Arial" w:hAnsi="Arial" w:cs="Arial"/>
                <w:sz w:val="18"/>
              </w:rPr>
              <w:t xml:space="preserve">12.9%) </w:t>
            </w:r>
          </w:p>
        </w:tc>
        <w:tc>
          <w:tcPr>
            <w:tcW w:w="2638" w:type="dxa"/>
            <w:tcBorders>
              <w:top w:val="single" w:sz="4" w:space="0" w:color="563C80"/>
              <w:left w:val="single" w:sz="4" w:space="0" w:color="563C80"/>
              <w:bottom w:val="single" w:sz="4" w:space="0" w:color="563C80"/>
              <w:right w:val="single" w:sz="8" w:space="0" w:color="563C80"/>
            </w:tcBorders>
          </w:tcPr>
          <w:p w14:paraId="7EC40177" w14:textId="77777777" w:rsidR="006F0DDB" w:rsidRDefault="00000000">
            <w:pPr>
              <w:spacing w:after="0" w:line="259" w:lineRule="auto"/>
              <w:ind w:left="39"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20.0%) </w:t>
            </w:r>
          </w:p>
        </w:tc>
      </w:tr>
      <w:tr w:rsidR="006F0DDB" w14:paraId="5D9BADEC"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05D28F97" w14:textId="77777777" w:rsidR="006F0DDB" w:rsidRDefault="00000000">
            <w:pPr>
              <w:spacing w:after="0" w:line="259" w:lineRule="auto"/>
              <w:ind w:left="562" w:right="0" w:firstLine="0"/>
              <w:jc w:val="left"/>
            </w:pPr>
            <w:r>
              <w:rPr>
                <w:rFonts w:ascii="Arial" w:eastAsia="Arial" w:hAnsi="Arial" w:cs="Arial"/>
                <w:sz w:val="18"/>
              </w:rPr>
              <w:t xml:space="preserve">14 Fr </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79DB4CA6" w14:textId="77777777" w:rsidR="006F0DDB" w:rsidRDefault="00000000">
            <w:pPr>
              <w:spacing w:after="0" w:line="259" w:lineRule="auto"/>
              <w:ind w:left="39"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1.6%)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6D18705E" w14:textId="77777777" w:rsidR="006F0DDB" w:rsidRDefault="00000000">
            <w:pPr>
              <w:spacing w:after="0" w:line="259" w:lineRule="auto"/>
              <w:ind w:left="39"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20.0%) </w:t>
            </w:r>
          </w:p>
        </w:tc>
      </w:tr>
      <w:tr w:rsidR="006F0DDB" w14:paraId="34098216"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386C269A" w14:textId="77777777" w:rsidR="006F0DDB" w:rsidRDefault="00000000">
            <w:pPr>
              <w:spacing w:after="0" w:line="259" w:lineRule="auto"/>
              <w:ind w:left="562" w:right="0" w:firstLine="0"/>
              <w:jc w:val="left"/>
            </w:pPr>
            <w:r>
              <w:rPr>
                <w:rFonts w:ascii="Arial" w:eastAsia="Arial" w:hAnsi="Arial" w:cs="Arial"/>
                <w:sz w:val="18"/>
              </w:rPr>
              <w:t xml:space="preserve">16 Fr </w:t>
            </w:r>
          </w:p>
        </w:tc>
        <w:tc>
          <w:tcPr>
            <w:tcW w:w="2640" w:type="dxa"/>
            <w:tcBorders>
              <w:top w:val="single" w:sz="4" w:space="0" w:color="563C80"/>
              <w:left w:val="single" w:sz="4" w:space="0" w:color="563C80"/>
              <w:bottom w:val="single" w:sz="4" w:space="0" w:color="563C80"/>
              <w:right w:val="single" w:sz="4" w:space="0" w:color="563C80"/>
            </w:tcBorders>
          </w:tcPr>
          <w:p w14:paraId="2811C30E" w14:textId="77777777" w:rsidR="006F0DDB" w:rsidRDefault="00000000">
            <w:pPr>
              <w:spacing w:after="0" w:line="259" w:lineRule="auto"/>
              <w:ind w:left="37" w:right="0" w:firstLine="0"/>
              <w:jc w:val="left"/>
            </w:pPr>
            <w:r>
              <w:rPr>
                <w:rFonts w:ascii="Arial" w:eastAsia="Arial" w:hAnsi="Arial" w:cs="Arial"/>
                <w:sz w:val="18"/>
              </w:rPr>
              <w:t xml:space="preserve">                22 </w:t>
            </w:r>
            <w:proofErr w:type="gramStart"/>
            <w:r>
              <w:rPr>
                <w:rFonts w:ascii="Arial" w:eastAsia="Arial" w:hAnsi="Arial" w:cs="Arial"/>
                <w:sz w:val="18"/>
              </w:rPr>
              <w:t xml:space="preserve">   (</w:t>
            </w:r>
            <w:proofErr w:type="gramEnd"/>
            <w:r>
              <w:rPr>
                <w:rFonts w:ascii="Arial" w:eastAsia="Arial" w:hAnsi="Arial" w:cs="Arial"/>
                <w:sz w:val="18"/>
              </w:rPr>
              <w:t xml:space="preserve">35.5%) </w:t>
            </w:r>
          </w:p>
        </w:tc>
        <w:tc>
          <w:tcPr>
            <w:tcW w:w="2638" w:type="dxa"/>
            <w:tcBorders>
              <w:top w:val="single" w:sz="4" w:space="0" w:color="563C80"/>
              <w:left w:val="single" w:sz="4" w:space="0" w:color="563C80"/>
              <w:bottom w:val="single" w:sz="4" w:space="0" w:color="563C80"/>
              <w:right w:val="single" w:sz="8" w:space="0" w:color="563C80"/>
            </w:tcBorders>
          </w:tcPr>
          <w:p w14:paraId="4C74B325" w14:textId="77777777" w:rsidR="006F0DDB" w:rsidRDefault="00000000">
            <w:pPr>
              <w:spacing w:after="0" w:line="259" w:lineRule="auto"/>
              <w:ind w:left="39" w:right="0" w:firstLine="0"/>
              <w:jc w:val="left"/>
            </w:pPr>
            <w:r>
              <w:rPr>
                <w:rFonts w:ascii="Arial" w:eastAsia="Arial" w:hAnsi="Arial" w:cs="Arial"/>
                <w:sz w:val="18"/>
              </w:rPr>
              <w:t xml:space="preserve">                  3 </w:t>
            </w:r>
            <w:proofErr w:type="gramStart"/>
            <w:r>
              <w:rPr>
                <w:rFonts w:ascii="Arial" w:eastAsia="Arial" w:hAnsi="Arial" w:cs="Arial"/>
                <w:sz w:val="18"/>
              </w:rPr>
              <w:t xml:space="preserve">   (</w:t>
            </w:r>
            <w:proofErr w:type="gramEnd"/>
            <w:r>
              <w:rPr>
                <w:rFonts w:ascii="Arial" w:eastAsia="Arial" w:hAnsi="Arial" w:cs="Arial"/>
                <w:sz w:val="18"/>
              </w:rPr>
              <w:t xml:space="preserve">60.0%) </w:t>
            </w:r>
          </w:p>
        </w:tc>
      </w:tr>
      <w:tr w:rsidR="006F0DDB" w14:paraId="5C6B7DDB"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6BD05231" w14:textId="77777777" w:rsidR="006F0DDB" w:rsidRDefault="00000000">
            <w:pPr>
              <w:spacing w:after="0" w:line="259" w:lineRule="auto"/>
              <w:ind w:left="562" w:right="0" w:firstLine="0"/>
              <w:jc w:val="left"/>
            </w:pPr>
            <w:r>
              <w:rPr>
                <w:rFonts w:ascii="Arial" w:eastAsia="Arial" w:hAnsi="Arial" w:cs="Arial"/>
                <w:sz w:val="18"/>
              </w:rPr>
              <w:t xml:space="preserve">18 Fr </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31EE1797" w14:textId="77777777" w:rsidR="006F0DDB" w:rsidRDefault="00000000">
            <w:pPr>
              <w:spacing w:after="0" w:line="259" w:lineRule="auto"/>
              <w:ind w:left="39" w:right="0" w:firstLine="0"/>
              <w:jc w:val="left"/>
            </w:pPr>
            <w:r>
              <w:rPr>
                <w:rFonts w:ascii="Arial" w:eastAsia="Arial" w:hAnsi="Arial" w:cs="Arial"/>
                <w:sz w:val="18"/>
              </w:rPr>
              <w:t xml:space="preserve">                  7 </w:t>
            </w:r>
            <w:proofErr w:type="gramStart"/>
            <w:r>
              <w:rPr>
                <w:rFonts w:ascii="Arial" w:eastAsia="Arial" w:hAnsi="Arial" w:cs="Arial"/>
                <w:sz w:val="18"/>
              </w:rPr>
              <w:t xml:space="preserve">   (</w:t>
            </w:r>
            <w:proofErr w:type="gramEnd"/>
            <w:r>
              <w:rPr>
                <w:rFonts w:ascii="Arial" w:eastAsia="Arial" w:hAnsi="Arial" w:cs="Arial"/>
                <w:sz w:val="18"/>
              </w:rPr>
              <w:t xml:space="preserve">11.3%)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160BC404" w14:textId="77777777" w:rsidR="006F0DDB" w:rsidRDefault="00000000">
            <w:pPr>
              <w:spacing w:after="0" w:line="259" w:lineRule="auto"/>
              <w:ind w:left="0" w:right="0" w:firstLine="0"/>
              <w:jc w:val="left"/>
            </w:pPr>
            <w:r>
              <w:rPr>
                <w:rFonts w:ascii="Arial" w:eastAsia="Arial" w:hAnsi="Arial" w:cs="Arial"/>
                <w:sz w:val="18"/>
              </w:rPr>
              <w:t xml:space="preserve"> </w:t>
            </w:r>
          </w:p>
        </w:tc>
      </w:tr>
      <w:tr w:rsidR="006F0DDB" w14:paraId="29F5D4F3"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22C82170" w14:textId="77777777" w:rsidR="006F0DDB" w:rsidRDefault="00000000">
            <w:pPr>
              <w:spacing w:after="0" w:line="259" w:lineRule="auto"/>
              <w:ind w:left="562" w:right="0" w:firstLine="0"/>
              <w:jc w:val="left"/>
            </w:pPr>
            <w:r>
              <w:rPr>
                <w:rFonts w:ascii="Arial" w:eastAsia="Arial" w:hAnsi="Arial" w:cs="Arial"/>
                <w:sz w:val="18"/>
              </w:rPr>
              <w:t xml:space="preserve">20 Fr </w:t>
            </w:r>
          </w:p>
        </w:tc>
        <w:tc>
          <w:tcPr>
            <w:tcW w:w="2640" w:type="dxa"/>
            <w:tcBorders>
              <w:top w:val="single" w:sz="4" w:space="0" w:color="563C80"/>
              <w:left w:val="single" w:sz="4" w:space="0" w:color="563C80"/>
              <w:bottom w:val="single" w:sz="4" w:space="0" w:color="563C80"/>
              <w:right w:val="single" w:sz="4" w:space="0" w:color="563C80"/>
            </w:tcBorders>
          </w:tcPr>
          <w:p w14:paraId="72B78839" w14:textId="77777777" w:rsidR="006F0DDB" w:rsidRDefault="00000000">
            <w:pPr>
              <w:spacing w:after="0" w:line="259" w:lineRule="auto"/>
              <w:ind w:left="39" w:right="0" w:firstLine="0"/>
              <w:jc w:val="left"/>
            </w:pPr>
            <w:r>
              <w:rPr>
                <w:rFonts w:ascii="Arial" w:eastAsia="Arial" w:hAnsi="Arial" w:cs="Arial"/>
                <w:sz w:val="18"/>
              </w:rPr>
              <w:t xml:space="preserve">                  9 </w:t>
            </w:r>
            <w:proofErr w:type="gramStart"/>
            <w:r>
              <w:rPr>
                <w:rFonts w:ascii="Arial" w:eastAsia="Arial" w:hAnsi="Arial" w:cs="Arial"/>
                <w:sz w:val="18"/>
              </w:rPr>
              <w:t xml:space="preserve">   (</w:t>
            </w:r>
            <w:proofErr w:type="gramEnd"/>
            <w:r>
              <w:rPr>
                <w:rFonts w:ascii="Arial" w:eastAsia="Arial" w:hAnsi="Arial" w:cs="Arial"/>
                <w:sz w:val="18"/>
              </w:rPr>
              <w:t xml:space="preserve">14.5%) </w:t>
            </w:r>
          </w:p>
        </w:tc>
        <w:tc>
          <w:tcPr>
            <w:tcW w:w="2638" w:type="dxa"/>
            <w:tcBorders>
              <w:top w:val="single" w:sz="4" w:space="0" w:color="563C80"/>
              <w:left w:val="single" w:sz="4" w:space="0" w:color="563C80"/>
              <w:bottom w:val="single" w:sz="4" w:space="0" w:color="563C80"/>
              <w:right w:val="single" w:sz="8" w:space="0" w:color="563C80"/>
            </w:tcBorders>
          </w:tcPr>
          <w:p w14:paraId="05F1D7F0" w14:textId="77777777" w:rsidR="006F0DDB" w:rsidRDefault="00000000">
            <w:pPr>
              <w:spacing w:after="0" w:line="259" w:lineRule="auto"/>
              <w:ind w:left="0" w:right="0" w:firstLine="0"/>
              <w:jc w:val="left"/>
            </w:pPr>
            <w:r>
              <w:rPr>
                <w:rFonts w:ascii="Arial" w:eastAsia="Arial" w:hAnsi="Arial" w:cs="Arial"/>
                <w:sz w:val="18"/>
              </w:rPr>
              <w:t xml:space="preserve"> </w:t>
            </w:r>
          </w:p>
        </w:tc>
      </w:tr>
      <w:tr w:rsidR="006F0DDB" w14:paraId="06EDB3C4"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56F7420C" w14:textId="77777777" w:rsidR="006F0DDB" w:rsidRDefault="00000000">
            <w:pPr>
              <w:spacing w:after="0" w:line="259" w:lineRule="auto"/>
              <w:ind w:left="562" w:right="0" w:firstLine="0"/>
              <w:jc w:val="left"/>
            </w:pPr>
            <w:r>
              <w:rPr>
                <w:rFonts w:ascii="Arial" w:eastAsia="Arial" w:hAnsi="Arial" w:cs="Arial"/>
                <w:sz w:val="18"/>
              </w:rPr>
              <w:t xml:space="preserve">22 Fr </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66ADA30B" w14:textId="77777777" w:rsidR="006F0DDB" w:rsidRDefault="00000000">
            <w:pPr>
              <w:spacing w:after="0" w:line="259" w:lineRule="auto"/>
              <w:ind w:left="39" w:right="0" w:firstLine="0"/>
              <w:jc w:val="left"/>
            </w:pPr>
            <w:r>
              <w:rPr>
                <w:rFonts w:ascii="Arial" w:eastAsia="Arial" w:hAnsi="Arial" w:cs="Arial"/>
                <w:sz w:val="18"/>
              </w:rPr>
              <w:t xml:space="preserve">                  7 </w:t>
            </w:r>
            <w:proofErr w:type="gramStart"/>
            <w:r>
              <w:rPr>
                <w:rFonts w:ascii="Arial" w:eastAsia="Arial" w:hAnsi="Arial" w:cs="Arial"/>
                <w:sz w:val="18"/>
              </w:rPr>
              <w:t xml:space="preserve">   (</w:t>
            </w:r>
            <w:proofErr w:type="gramEnd"/>
            <w:r>
              <w:rPr>
                <w:rFonts w:ascii="Arial" w:eastAsia="Arial" w:hAnsi="Arial" w:cs="Arial"/>
                <w:sz w:val="18"/>
              </w:rPr>
              <w:t xml:space="preserve">11.3%)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2E54D149" w14:textId="77777777" w:rsidR="006F0DDB" w:rsidRDefault="00000000">
            <w:pPr>
              <w:spacing w:after="0" w:line="259" w:lineRule="auto"/>
              <w:ind w:left="0" w:right="0" w:firstLine="0"/>
              <w:jc w:val="left"/>
            </w:pPr>
            <w:r>
              <w:rPr>
                <w:rFonts w:ascii="Arial" w:eastAsia="Arial" w:hAnsi="Arial" w:cs="Arial"/>
                <w:sz w:val="18"/>
              </w:rPr>
              <w:t xml:space="preserve"> </w:t>
            </w:r>
          </w:p>
        </w:tc>
      </w:tr>
      <w:tr w:rsidR="006F0DDB" w14:paraId="6884A318"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68161C4D" w14:textId="77777777" w:rsidR="006F0DDB" w:rsidRDefault="00000000">
            <w:pPr>
              <w:spacing w:after="0" w:line="259" w:lineRule="auto"/>
              <w:ind w:left="562" w:right="0" w:firstLine="0"/>
              <w:jc w:val="left"/>
            </w:pPr>
            <w:r>
              <w:rPr>
                <w:rFonts w:ascii="Arial" w:eastAsia="Arial" w:hAnsi="Arial" w:cs="Arial"/>
                <w:sz w:val="18"/>
              </w:rPr>
              <w:t xml:space="preserve">24 Fr </w:t>
            </w:r>
          </w:p>
        </w:tc>
        <w:tc>
          <w:tcPr>
            <w:tcW w:w="2640" w:type="dxa"/>
            <w:tcBorders>
              <w:top w:val="single" w:sz="4" w:space="0" w:color="563C80"/>
              <w:left w:val="single" w:sz="4" w:space="0" w:color="563C80"/>
              <w:bottom w:val="single" w:sz="4" w:space="0" w:color="563C80"/>
              <w:right w:val="single" w:sz="4" w:space="0" w:color="563C80"/>
            </w:tcBorders>
          </w:tcPr>
          <w:p w14:paraId="3348955C" w14:textId="77777777" w:rsidR="006F0DDB" w:rsidRDefault="00000000">
            <w:pPr>
              <w:spacing w:after="0" w:line="259" w:lineRule="auto"/>
              <w:ind w:left="39" w:right="0" w:firstLine="0"/>
              <w:jc w:val="left"/>
            </w:pPr>
            <w:r>
              <w:rPr>
                <w:rFonts w:ascii="Arial" w:eastAsia="Arial" w:hAnsi="Arial" w:cs="Arial"/>
                <w:sz w:val="18"/>
              </w:rPr>
              <w:t xml:space="preserve">                  5   </w:t>
            </w:r>
            <w:proofErr w:type="gramStart"/>
            <w:r>
              <w:rPr>
                <w:rFonts w:ascii="Arial" w:eastAsia="Arial" w:hAnsi="Arial" w:cs="Arial"/>
                <w:sz w:val="18"/>
              </w:rPr>
              <w:t xml:space="preserve">   (</w:t>
            </w:r>
            <w:proofErr w:type="gramEnd"/>
            <w:r>
              <w:rPr>
                <w:rFonts w:ascii="Arial" w:eastAsia="Arial" w:hAnsi="Arial" w:cs="Arial"/>
                <w:sz w:val="18"/>
              </w:rPr>
              <w:t xml:space="preserve">8.1%) </w:t>
            </w:r>
          </w:p>
        </w:tc>
        <w:tc>
          <w:tcPr>
            <w:tcW w:w="2638" w:type="dxa"/>
            <w:tcBorders>
              <w:top w:val="single" w:sz="4" w:space="0" w:color="563C80"/>
              <w:left w:val="single" w:sz="4" w:space="0" w:color="563C80"/>
              <w:bottom w:val="single" w:sz="4" w:space="0" w:color="563C80"/>
              <w:right w:val="single" w:sz="8" w:space="0" w:color="563C80"/>
            </w:tcBorders>
          </w:tcPr>
          <w:p w14:paraId="0296A6AB" w14:textId="77777777" w:rsidR="006F0DDB" w:rsidRDefault="00000000">
            <w:pPr>
              <w:spacing w:after="0" w:line="259" w:lineRule="auto"/>
              <w:ind w:left="0" w:right="0" w:firstLine="0"/>
              <w:jc w:val="left"/>
            </w:pPr>
            <w:r>
              <w:rPr>
                <w:rFonts w:ascii="Arial" w:eastAsia="Arial" w:hAnsi="Arial" w:cs="Arial"/>
                <w:sz w:val="18"/>
              </w:rPr>
              <w:t xml:space="preserve"> </w:t>
            </w:r>
          </w:p>
        </w:tc>
      </w:tr>
      <w:tr w:rsidR="006F0DDB" w14:paraId="6C429B7E"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4371B9AB" w14:textId="77777777" w:rsidR="006F0DDB" w:rsidRDefault="00000000">
            <w:pPr>
              <w:spacing w:after="0" w:line="259" w:lineRule="auto"/>
              <w:ind w:left="562" w:right="0" w:firstLine="0"/>
              <w:jc w:val="left"/>
            </w:pPr>
            <w:r>
              <w:rPr>
                <w:rFonts w:ascii="Arial" w:eastAsia="Arial" w:hAnsi="Arial" w:cs="Arial"/>
                <w:sz w:val="18"/>
              </w:rPr>
              <w:t xml:space="preserve">30 Fr </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7CECBFD1" w14:textId="77777777" w:rsidR="006F0DDB" w:rsidRDefault="00000000">
            <w:pPr>
              <w:spacing w:after="0" w:line="259" w:lineRule="auto"/>
              <w:ind w:left="39" w:right="0" w:firstLine="0"/>
              <w:jc w:val="left"/>
            </w:pPr>
            <w:r>
              <w:rPr>
                <w:rFonts w:ascii="Arial" w:eastAsia="Arial" w:hAnsi="Arial" w:cs="Arial"/>
                <w:sz w:val="18"/>
              </w:rPr>
              <w:t xml:space="preserve">                  1   </w:t>
            </w:r>
            <w:proofErr w:type="gramStart"/>
            <w:r>
              <w:rPr>
                <w:rFonts w:ascii="Arial" w:eastAsia="Arial" w:hAnsi="Arial" w:cs="Arial"/>
                <w:sz w:val="18"/>
              </w:rPr>
              <w:t xml:space="preserve">   (</w:t>
            </w:r>
            <w:proofErr w:type="gramEnd"/>
            <w:r>
              <w:rPr>
                <w:rFonts w:ascii="Arial" w:eastAsia="Arial" w:hAnsi="Arial" w:cs="Arial"/>
                <w:sz w:val="18"/>
              </w:rPr>
              <w:t xml:space="preserve">1.6%)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2187A7F1" w14:textId="77777777" w:rsidR="006F0DDB" w:rsidRDefault="00000000">
            <w:pPr>
              <w:spacing w:after="0" w:line="259" w:lineRule="auto"/>
              <w:ind w:left="0" w:right="0" w:firstLine="0"/>
              <w:jc w:val="left"/>
            </w:pPr>
            <w:r>
              <w:rPr>
                <w:rFonts w:ascii="Arial" w:eastAsia="Arial" w:hAnsi="Arial" w:cs="Arial"/>
                <w:sz w:val="18"/>
              </w:rPr>
              <w:t xml:space="preserve"> </w:t>
            </w:r>
          </w:p>
        </w:tc>
      </w:tr>
      <w:tr w:rsidR="006F0DDB" w14:paraId="2B508C2C"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525433E6" w14:textId="77777777" w:rsidR="006F0DDB" w:rsidRDefault="00000000">
            <w:pPr>
              <w:spacing w:after="0" w:line="259" w:lineRule="auto"/>
              <w:ind w:left="562" w:right="0" w:firstLine="0"/>
              <w:jc w:val="left"/>
            </w:pPr>
            <w:r>
              <w:rPr>
                <w:rFonts w:ascii="Arial" w:eastAsia="Arial" w:hAnsi="Arial" w:cs="Arial"/>
                <w:sz w:val="18"/>
              </w:rPr>
              <w:t>Unknown</w:t>
            </w:r>
          </w:p>
        </w:tc>
        <w:tc>
          <w:tcPr>
            <w:tcW w:w="2640" w:type="dxa"/>
            <w:tcBorders>
              <w:top w:val="single" w:sz="4" w:space="0" w:color="563C80"/>
              <w:left w:val="single" w:sz="4" w:space="0" w:color="563C80"/>
              <w:bottom w:val="single" w:sz="4" w:space="0" w:color="563C80"/>
              <w:right w:val="single" w:sz="4" w:space="0" w:color="563C80"/>
            </w:tcBorders>
          </w:tcPr>
          <w:p w14:paraId="0357D39A" w14:textId="77777777" w:rsidR="006F0DDB" w:rsidRDefault="00000000">
            <w:pPr>
              <w:spacing w:after="0" w:line="259" w:lineRule="auto"/>
              <w:ind w:left="39" w:right="0" w:firstLine="0"/>
              <w:jc w:val="left"/>
            </w:pPr>
            <w:r>
              <w:rPr>
                <w:rFonts w:ascii="Arial" w:eastAsia="Arial" w:hAnsi="Arial" w:cs="Arial"/>
                <w:sz w:val="18"/>
              </w:rPr>
              <w:t xml:space="preserve">                  2   </w:t>
            </w:r>
            <w:proofErr w:type="gramStart"/>
            <w:r>
              <w:rPr>
                <w:rFonts w:ascii="Arial" w:eastAsia="Arial" w:hAnsi="Arial" w:cs="Arial"/>
                <w:sz w:val="18"/>
              </w:rPr>
              <w:t xml:space="preserve">   (</w:t>
            </w:r>
            <w:proofErr w:type="gramEnd"/>
            <w:r>
              <w:rPr>
                <w:rFonts w:ascii="Arial" w:eastAsia="Arial" w:hAnsi="Arial" w:cs="Arial"/>
                <w:sz w:val="18"/>
              </w:rPr>
              <w:t xml:space="preserve">3.2%) </w:t>
            </w:r>
          </w:p>
        </w:tc>
        <w:tc>
          <w:tcPr>
            <w:tcW w:w="2638" w:type="dxa"/>
            <w:tcBorders>
              <w:top w:val="single" w:sz="4" w:space="0" w:color="563C80"/>
              <w:left w:val="single" w:sz="4" w:space="0" w:color="563C80"/>
              <w:bottom w:val="single" w:sz="4" w:space="0" w:color="563C80"/>
              <w:right w:val="single" w:sz="8" w:space="0" w:color="563C80"/>
            </w:tcBorders>
          </w:tcPr>
          <w:p w14:paraId="5B5D74A4" w14:textId="77777777" w:rsidR="006F0DDB" w:rsidRDefault="00000000">
            <w:pPr>
              <w:spacing w:after="0" w:line="259" w:lineRule="auto"/>
              <w:ind w:left="0" w:right="0" w:firstLine="0"/>
              <w:jc w:val="left"/>
            </w:pPr>
            <w:r>
              <w:rPr>
                <w:rFonts w:ascii="Arial" w:eastAsia="Arial" w:hAnsi="Arial" w:cs="Arial"/>
                <w:sz w:val="18"/>
              </w:rPr>
              <w:t xml:space="preserve"> </w:t>
            </w:r>
          </w:p>
        </w:tc>
      </w:tr>
      <w:tr w:rsidR="006F0DDB" w14:paraId="0282303A" w14:textId="77777777">
        <w:trPr>
          <w:trHeight w:val="319"/>
        </w:trPr>
        <w:tc>
          <w:tcPr>
            <w:tcW w:w="4500" w:type="dxa"/>
            <w:tcBorders>
              <w:top w:val="single" w:sz="4" w:space="0" w:color="563C80"/>
              <w:left w:val="single" w:sz="8" w:space="0" w:color="563C80"/>
              <w:bottom w:val="single" w:sz="4" w:space="0" w:color="563C80"/>
              <w:right w:val="nil"/>
            </w:tcBorders>
            <w:shd w:val="clear" w:color="auto" w:fill="C9C9C9"/>
          </w:tcPr>
          <w:p w14:paraId="4C1E5098" w14:textId="77777777" w:rsidR="006F0DDB" w:rsidRDefault="00000000">
            <w:pPr>
              <w:spacing w:after="0" w:line="259" w:lineRule="auto"/>
              <w:ind w:left="82" w:right="0" w:firstLine="0"/>
              <w:jc w:val="left"/>
            </w:pPr>
            <w:r>
              <w:rPr>
                <w:rFonts w:ascii="Arial" w:eastAsia="Arial" w:hAnsi="Arial" w:cs="Arial"/>
                <w:sz w:val="18"/>
              </w:rPr>
              <w:t xml:space="preserve">Length of Time Catheter </w:t>
            </w:r>
            <w:r>
              <w:rPr>
                <w:rFonts w:ascii="Arial" w:eastAsia="Arial" w:hAnsi="Arial" w:cs="Arial"/>
                <w:i/>
                <w:sz w:val="18"/>
              </w:rPr>
              <w:t>In-Situ</w:t>
            </w:r>
            <w:r>
              <w:rPr>
                <w:rFonts w:ascii="Arial" w:eastAsia="Arial" w:hAnsi="Arial" w:cs="Arial"/>
                <w:sz w:val="18"/>
              </w:rPr>
              <w:t xml:space="preserve"> (Years) </w:t>
            </w:r>
          </w:p>
        </w:tc>
        <w:tc>
          <w:tcPr>
            <w:tcW w:w="2640" w:type="dxa"/>
            <w:tcBorders>
              <w:top w:val="single" w:sz="4" w:space="0" w:color="563C80"/>
              <w:left w:val="nil"/>
              <w:bottom w:val="single" w:sz="4" w:space="0" w:color="563C80"/>
              <w:right w:val="nil"/>
            </w:tcBorders>
            <w:shd w:val="clear" w:color="auto" w:fill="C9C9C9"/>
          </w:tcPr>
          <w:p w14:paraId="4206C48A" w14:textId="77777777" w:rsidR="006F0DDB" w:rsidRDefault="006F0DDB">
            <w:pPr>
              <w:spacing w:after="160" w:line="259" w:lineRule="auto"/>
              <w:ind w:left="0" w:right="0" w:firstLine="0"/>
              <w:jc w:val="left"/>
            </w:pPr>
          </w:p>
        </w:tc>
        <w:tc>
          <w:tcPr>
            <w:tcW w:w="2638" w:type="dxa"/>
            <w:tcBorders>
              <w:top w:val="single" w:sz="4" w:space="0" w:color="563C80"/>
              <w:left w:val="nil"/>
              <w:bottom w:val="single" w:sz="4" w:space="0" w:color="563C80"/>
              <w:right w:val="single" w:sz="8" w:space="0" w:color="563C80"/>
            </w:tcBorders>
            <w:shd w:val="clear" w:color="auto" w:fill="C9C9C9"/>
          </w:tcPr>
          <w:p w14:paraId="18AEBC80" w14:textId="77777777" w:rsidR="006F0DDB" w:rsidRDefault="006F0DDB">
            <w:pPr>
              <w:spacing w:after="160" w:line="259" w:lineRule="auto"/>
              <w:ind w:left="0" w:right="0" w:firstLine="0"/>
              <w:jc w:val="left"/>
            </w:pPr>
          </w:p>
        </w:tc>
      </w:tr>
      <w:tr w:rsidR="006F0DDB" w14:paraId="03A7232C"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5780DD9C" w14:textId="77777777" w:rsidR="006F0DDB" w:rsidRDefault="00000000">
            <w:pPr>
              <w:spacing w:after="0" w:line="259" w:lineRule="auto"/>
              <w:ind w:left="322" w:right="0" w:firstLine="0"/>
              <w:jc w:val="left"/>
            </w:pPr>
            <w:r>
              <w:rPr>
                <w:rFonts w:ascii="Arial" w:eastAsia="Arial" w:hAnsi="Arial" w:cs="Arial"/>
                <w:sz w:val="18"/>
              </w:rPr>
              <w:t xml:space="preserve">1-2  </w:t>
            </w:r>
          </w:p>
        </w:tc>
        <w:tc>
          <w:tcPr>
            <w:tcW w:w="2640" w:type="dxa"/>
            <w:tcBorders>
              <w:top w:val="single" w:sz="4" w:space="0" w:color="563C80"/>
              <w:left w:val="single" w:sz="4" w:space="0" w:color="563C80"/>
              <w:bottom w:val="single" w:sz="4" w:space="0" w:color="563C80"/>
              <w:right w:val="single" w:sz="4" w:space="0" w:color="563C80"/>
            </w:tcBorders>
          </w:tcPr>
          <w:p w14:paraId="05C2A0E4" w14:textId="77777777" w:rsidR="006F0DDB" w:rsidRDefault="00000000">
            <w:pPr>
              <w:spacing w:after="0" w:line="259" w:lineRule="auto"/>
              <w:ind w:left="37" w:right="0" w:firstLine="0"/>
              <w:jc w:val="left"/>
            </w:pPr>
            <w:r>
              <w:rPr>
                <w:rFonts w:ascii="Arial" w:eastAsia="Arial" w:hAnsi="Arial" w:cs="Arial"/>
                <w:sz w:val="18"/>
              </w:rPr>
              <w:t xml:space="preserve">                32 </w:t>
            </w:r>
            <w:proofErr w:type="gramStart"/>
            <w:r>
              <w:rPr>
                <w:rFonts w:ascii="Arial" w:eastAsia="Arial" w:hAnsi="Arial" w:cs="Arial"/>
                <w:sz w:val="18"/>
              </w:rPr>
              <w:t xml:space="preserve">   (</w:t>
            </w:r>
            <w:proofErr w:type="gramEnd"/>
            <w:r>
              <w:rPr>
                <w:rFonts w:ascii="Arial" w:eastAsia="Arial" w:hAnsi="Arial" w:cs="Arial"/>
                <w:sz w:val="18"/>
              </w:rPr>
              <w:t xml:space="preserve">34.4%) </w:t>
            </w:r>
          </w:p>
        </w:tc>
        <w:tc>
          <w:tcPr>
            <w:tcW w:w="2638" w:type="dxa"/>
            <w:tcBorders>
              <w:top w:val="single" w:sz="4" w:space="0" w:color="563C80"/>
              <w:left w:val="single" w:sz="4" w:space="0" w:color="563C80"/>
              <w:bottom w:val="single" w:sz="4" w:space="0" w:color="563C80"/>
              <w:right w:val="single" w:sz="8" w:space="0" w:color="563C80"/>
            </w:tcBorders>
          </w:tcPr>
          <w:p w14:paraId="16A2EE92" w14:textId="77777777" w:rsidR="006F0DDB" w:rsidRDefault="00000000">
            <w:pPr>
              <w:spacing w:after="0" w:line="259" w:lineRule="auto"/>
              <w:ind w:left="39" w:right="0" w:firstLine="0"/>
              <w:jc w:val="left"/>
            </w:pPr>
            <w:r>
              <w:rPr>
                <w:rFonts w:ascii="Arial" w:eastAsia="Arial" w:hAnsi="Arial" w:cs="Arial"/>
                <w:sz w:val="18"/>
              </w:rPr>
              <w:t xml:space="preserve">                  6   </w:t>
            </w:r>
            <w:proofErr w:type="gramStart"/>
            <w:r>
              <w:rPr>
                <w:rFonts w:ascii="Arial" w:eastAsia="Arial" w:hAnsi="Arial" w:cs="Arial"/>
                <w:sz w:val="18"/>
              </w:rPr>
              <w:t xml:space="preserve">   (</w:t>
            </w:r>
            <w:proofErr w:type="gramEnd"/>
            <w:r>
              <w:rPr>
                <w:rFonts w:ascii="Arial" w:eastAsia="Arial" w:hAnsi="Arial" w:cs="Arial"/>
                <w:sz w:val="18"/>
              </w:rPr>
              <w:t xml:space="preserve">7.4%) </w:t>
            </w:r>
          </w:p>
        </w:tc>
      </w:tr>
      <w:tr w:rsidR="006F0DDB" w14:paraId="4823C8DD"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3DFCF114" w14:textId="77777777" w:rsidR="006F0DDB" w:rsidRDefault="00000000">
            <w:pPr>
              <w:spacing w:after="0" w:line="259" w:lineRule="auto"/>
              <w:ind w:left="322" w:right="0" w:firstLine="0"/>
              <w:jc w:val="left"/>
            </w:pPr>
            <w:r>
              <w:rPr>
                <w:rFonts w:ascii="Arial" w:eastAsia="Arial" w:hAnsi="Arial" w:cs="Arial"/>
                <w:sz w:val="18"/>
              </w:rPr>
              <w:lastRenderedPageBreak/>
              <w:t xml:space="preserve">2-3  </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2BB9588B" w14:textId="77777777" w:rsidR="006F0DDB" w:rsidRDefault="00000000">
            <w:pPr>
              <w:spacing w:after="0" w:line="259" w:lineRule="auto"/>
              <w:ind w:left="37" w:right="0" w:firstLine="0"/>
              <w:jc w:val="left"/>
            </w:pPr>
            <w:r>
              <w:rPr>
                <w:rFonts w:ascii="Arial" w:eastAsia="Arial" w:hAnsi="Arial" w:cs="Arial"/>
                <w:sz w:val="18"/>
              </w:rPr>
              <w:t xml:space="preserve">                15 </w:t>
            </w:r>
            <w:proofErr w:type="gramStart"/>
            <w:r>
              <w:rPr>
                <w:rFonts w:ascii="Arial" w:eastAsia="Arial" w:hAnsi="Arial" w:cs="Arial"/>
                <w:sz w:val="18"/>
              </w:rPr>
              <w:t xml:space="preserve">   (</w:t>
            </w:r>
            <w:proofErr w:type="gramEnd"/>
            <w:r>
              <w:rPr>
                <w:rFonts w:ascii="Arial" w:eastAsia="Arial" w:hAnsi="Arial" w:cs="Arial"/>
                <w:sz w:val="18"/>
              </w:rPr>
              <w:t xml:space="preserve">16.1%)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0086A2E5" w14:textId="77777777" w:rsidR="006F0DDB" w:rsidRDefault="00000000">
            <w:pPr>
              <w:spacing w:after="0" w:line="259" w:lineRule="auto"/>
              <w:ind w:left="37" w:right="0" w:firstLine="0"/>
              <w:jc w:val="left"/>
            </w:pPr>
            <w:r>
              <w:rPr>
                <w:rFonts w:ascii="Arial" w:eastAsia="Arial" w:hAnsi="Arial" w:cs="Arial"/>
                <w:sz w:val="18"/>
              </w:rPr>
              <w:t xml:space="preserve">                16 </w:t>
            </w:r>
            <w:proofErr w:type="gramStart"/>
            <w:r>
              <w:rPr>
                <w:rFonts w:ascii="Arial" w:eastAsia="Arial" w:hAnsi="Arial" w:cs="Arial"/>
                <w:sz w:val="18"/>
              </w:rPr>
              <w:t xml:space="preserve">   (</w:t>
            </w:r>
            <w:proofErr w:type="gramEnd"/>
            <w:r>
              <w:rPr>
                <w:rFonts w:ascii="Arial" w:eastAsia="Arial" w:hAnsi="Arial" w:cs="Arial"/>
                <w:sz w:val="18"/>
              </w:rPr>
              <w:t xml:space="preserve">19.8%) </w:t>
            </w:r>
          </w:p>
        </w:tc>
      </w:tr>
      <w:tr w:rsidR="006F0DDB" w14:paraId="06545E33" w14:textId="77777777">
        <w:trPr>
          <w:trHeight w:val="324"/>
        </w:trPr>
        <w:tc>
          <w:tcPr>
            <w:tcW w:w="4500" w:type="dxa"/>
            <w:tcBorders>
              <w:top w:val="single" w:sz="4" w:space="0" w:color="563C80"/>
              <w:left w:val="single" w:sz="8" w:space="0" w:color="563C80"/>
              <w:bottom w:val="single" w:sz="4" w:space="0" w:color="563C80"/>
              <w:right w:val="single" w:sz="4" w:space="0" w:color="563C80"/>
            </w:tcBorders>
          </w:tcPr>
          <w:p w14:paraId="1FDD9D6E" w14:textId="77777777" w:rsidR="006F0DDB" w:rsidRDefault="00000000">
            <w:pPr>
              <w:spacing w:after="0" w:line="259" w:lineRule="auto"/>
              <w:ind w:left="322" w:right="0" w:firstLine="0"/>
              <w:jc w:val="left"/>
            </w:pPr>
            <w:r>
              <w:rPr>
                <w:rFonts w:ascii="Arial" w:eastAsia="Arial" w:hAnsi="Arial" w:cs="Arial"/>
                <w:sz w:val="18"/>
              </w:rPr>
              <w:t xml:space="preserve">3-5  </w:t>
            </w:r>
          </w:p>
        </w:tc>
        <w:tc>
          <w:tcPr>
            <w:tcW w:w="2640" w:type="dxa"/>
            <w:tcBorders>
              <w:top w:val="single" w:sz="4" w:space="0" w:color="563C80"/>
              <w:left w:val="single" w:sz="4" w:space="0" w:color="563C80"/>
              <w:bottom w:val="single" w:sz="4" w:space="0" w:color="563C80"/>
              <w:right w:val="single" w:sz="4" w:space="0" w:color="563C80"/>
            </w:tcBorders>
          </w:tcPr>
          <w:p w14:paraId="13ED4D6B" w14:textId="77777777" w:rsidR="006F0DDB" w:rsidRDefault="00000000">
            <w:pPr>
              <w:spacing w:after="0" w:line="259" w:lineRule="auto"/>
              <w:ind w:left="37" w:right="0" w:firstLine="0"/>
              <w:jc w:val="left"/>
            </w:pPr>
            <w:r>
              <w:rPr>
                <w:rFonts w:ascii="Arial" w:eastAsia="Arial" w:hAnsi="Arial" w:cs="Arial"/>
                <w:sz w:val="18"/>
              </w:rPr>
              <w:t xml:space="preserve">                21 </w:t>
            </w:r>
            <w:proofErr w:type="gramStart"/>
            <w:r>
              <w:rPr>
                <w:rFonts w:ascii="Arial" w:eastAsia="Arial" w:hAnsi="Arial" w:cs="Arial"/>
                <w:sz w:val="18"/>
              </w:rPr>
              <w:t xml:space="preserve">   (</w:t>
            </w:r>
            <w:proofErr w:type="gramEnd"/>
            <w:r>
              <w:rPr>
                <w:rFonts w:ascii="Arial" w:eastAsia="Arial" w:hAnsi="Arial" w:cs="Arial"/>
                <w:sz w:val="18"/>
              </w:rPr>
              <w:t xml:space="preserve">22.6%) </w:t>
            </w:r>
          </w:p>
        </w:tc>
        <w:tc>
          <w:tcPr>
            <w:tcW w:w="2638" w:type="dxa"/>
            <w:tcBorders>
              <w:top w:val="single" w:sz="4" w:space="0" w:color="563C80"/>
              <w:left w:val="single" w:sz="4" w:space="0" w:color="563C80"/>
              <w:bottom w:val="single" w:sz="4" w:space="0" w:color="563C80"/>
              <w:right w:val="single" w:sz="8" w:space="0" w:color="563C80"/>
            </w:tcBorders>
          </w:tcPr>
          <w:p w14:paraId="11BFCE27" w14:textId="77777777" w:rsidR="006F0DDB" w:rsidRDefault="00000000">
            <w:pPr>
              <w:spacing w:after="0" w:line="259" w:lineRule="auto"/>
              <w:ind w:left="37" w:right="0" w:firstLine="0"/>
              <w:jc w:val="left"/>
            </w:pPr>
            <w:r>
              <w:rPr>
                <w:rFonts w:ascii="Arial" w:eastAsia="Arial" w:hAnsi="Arial" w:cs="Arial"/>
                <w:sz w:val="18"/>
              </w:rPr>
              <w:t xml:space="preserve">                21 </w:t>
            </w:r>
            <w:proofErr w:type="gramStart"/>
            <w:r>
              <w:rPr>
                <w:rFonts w:ascii="Arial" w:eastAsia="Arial" w:hAnsi="Arial" w:cs="Arial"/>
                <w:sz w:val="18"/>
              </w:rPr>
              <w:t xml:space="preserve">   (</w:t>
            </w:r>
            <w:proofErr w:type="gramEnd"/>
            <w:r>
              <w:rPr>
                <w:rFonts w:ascii="Arial" w:eastAsia="Arial" w:hAnsi="Arial" w:cs="Arial"/>
                <w:sz w:val="18"/>
              </w:rPr>
              <w:t xml:space="preserve">25.9%) </w:t>
            </w:r>
          </w:p>
        </w:tc>
      </w:tr>
      <w:tr w:rsidR="006F0DDB" w14:paraId="0CBD964E" w14:textId="77777777">
        <w:trPr>
          <w:trHeight w:val="319"/>
        </w:trPr>
        <w:tc>
          <w:tcPr>
            <w:tcW w:w="4500" w:type="dxa"/>
            <w:tcBorders>
              <w:top w:val="single" w:sz="4" w:space="0" w:color="563C80"/>
              <w:left w:val="single" w:sz="8" w:space="0" w:color="563C80"/>
              <w:bottom w:val="single" w:sz="4" w:space="0" w:color="563C80"/>
              <w:right w:val="single" w:sz="4" w:space="0" w:color="563C80"/>
            </w:tcBorders>
            <w:shd w:val="clear" w:color="auto" w:fill="EDE7F1"/>
          </w:tcPr>
          <w:p w14:paraId="6DAE8E8F" w14:textId="77777777" w:rsidR="006F0DDB" w:rsidRDefault="00000000">
            <w:pPr>
              <w:spacing w:after="0" w:line="259" w:lineRule="auto"/>
              <w:ind w:left="322" w:right="0" w:firstLine="0"/>
              <w:jc w:val="left"/>
            </w:pPr>
            <w:r>
              <w:rPr>
                <w:rFonts w:ascii="Arial" w:eastAsia="Arial" w:hAnsi="Arial" w:cs="Arial"/>
                <w:sz w:val="18"/>
              </w:rPr>
              <w:t xml:space="preserve">5-10  </w:t>
            </w:r>
          </w:p>
        </w:tc>
        <w:tc>
          <w:tcPr>
            <w:tcW w:w="2640" w:type="dxa"/>
            <w:tcBorders>
              <w:top w:val="single" w:sz="4" w:space="0" w:color="563C80"/>
              <w:left w:val="single" w:sz="4" w:space="0" w:color="563C80"/>
              <w:bottom w:val="single" w:sz="4" w:space="0" w:color="563C80"/>
              <w:right w:val="single" w:sz="4" w:space="0" w:color="563C80"/>
            </w:tcBorders>
            <w:shd w:val="clear" w:color="auto" w:fill="EDE7F1"/>
          </w:tcPr>
          <w:p w14:paraId="5CA00174" w14:textId="77777777" w:rsidR="006F0DDB" w:rsidRDefault="00000000">
            <w:pPr>
              <w:spacing w:after="0" w:line="259" w:lineRule="auto"/>
              <w:ind w:left="37" w:right="0" w:firstLine="0"/>
              <w:jc w:val="left"/>
            </w:pPr>
            <w:r>
              <w:rPr>
                <w:rFonts w:ascii="Arial" w:eastAsia="Arial" w:hAnsi="Arial" w:cs="Arial"/>
                <w:sz w:val="18"/>
              </w:rPr>
              <w:t xml:space="preserve">                19 </w:t>
            </w:r>
            <w:proofErr w:type="gramStart"/>
            <w:r>
              <w:rPr>
                <w:rFonts w:ascii="Arial" w:eastAsia="Arial" w:hAnsi="Arial" w:cs="Arial"/>
                <w:sz w:val="18"/>
              </w:rPr>
              <w:t xml:space="preserve">   (</w:t>
            </w:r>
            <w:proofErr w:type="gramEnd"/>
            <w:r>
              <w:rPr>
                <w:rFonts w:ascii="Arial" w:eastAsia="Arial" w:hAnsi="Arial" w:cs="Arial"/>
                <w:sz w:val="18"/>
              </w:rPr>
              <w:t xml:space="preserve">20.4%) </w:t>
            </w:r>
          </w:p>
        </w:tc>
        <w:tc>
          <w:tcPr>
            <w:tcW w:w="2638" w:type="dxa"/>
            <w:tcBorders>
              <w:top w:val="single" w:sz="4" w:space="0" w:color="563C80"/>
              <w:left w:val="single" w:sz="4" w:space="0" w:color="563C80"/>
              <w:bottom w:val="single" w:sz="4" w:space="0" w:color="563C80"/>
              <w:right w:val="single" w:sz="8" w:space="0" w:color="563C80"/>
            </w:tcBorders>
            <w:shd w:val="clear" w:color="auto" w:fill="EDE7F1"/>
          </w:tcPr>
          <w:p w14:paraId="0164A293" w14:textId="77777777" w:rsidR="006F0DDB" w:rsidRDefault="00000000">
            <w:pPr>
              <w:spacing w:after="0" w:line="259" w:lineRule="auto"/>
              <w:ind w:left="37" w:right="0" w:firstLine="0"/>
              <w:jc w:val="left"/>
            </w:pPr>
            <w:r>
              <w:rPr>
                <w:rFonts w:ascii="Arial" w:eastAsia="Arial" w:hAnsi="Arial" w:cs="Arial"/>
                <w:sz w:val="18"/>
              </w:rPr>
              <w:t xml:space="preserve">                22 </w:t>
            </w:r>
            <w:proofErr w:type="gramStart"/>
            <w:r>
              <w:rPr>
                <w:rFonts w:ascii="Arial" w:eastAsia="Arial" w:hAnsi="Arial" w:cs="Arial"/>
                <w:sz w:val="18"/>
              </w:rPr>
              <w:t xml:space="preserve">   (</w:t>
            </w:r>
            <w:proofErr w:type="gramEnd"/>
            <w:r>
              <w:rPr>
                <w:rFonts w:ascii="Arial" w:eastAsia="Arial" w:hAnsi="Arial" w:cs="Arial"/>
                <w:sz w:val="18"/>
              </w:rPr>
              <w:t xml:space="preserve">27.2%) </w:t>
            </w:r>
          </w:p>
        </w:tc>
      </w:tr>
      <w:tr w:rsidR="006F0DDB" w14:paraId="0FC86BD6" w14:textId="77777777">
        <w:trPr>
          <w:trHeight w:val="323"/>
        </w:trPr>
        <w:tc>
          <w:tcPr>
            <w:tcW w:w="4500" w:type="dxa"/>
            <w:tcBorders>
              <w:top w:val="single" w:sz="4" w:space="0" w:color="563C80"/>
              <w:left w:val="single" w:sz="8" w:space="0" w:color="563C80"/>
              <w:bottom w:val="single" w:sz="8" w:space="0" w:color="563C80"/>
              <w:right w:val="single" w:sz="4" w:space="0" w:color="563C80"/>
            </w:tcBorders>
          </w:tcPr>
          <w:p w14:paraId="603BEAF4" w14:textId="77777777" w:rsidR="006F0DDB" w:rsidRDefault="00000000">
            <w:pPr>
              <w:spacing w:after="0" w:line="259" w:lineRule="auto"/>
              <w:ind w:left="322" w:right="0" w:firstLine="0"/>
              <w:jc w:val="left"/>
            </w:pPr>
            <w:r>
              <w:rPr>
                <w:rFonts w:ascii="Arial" w:eastAsia="Arial" w:hAnsi="Arial" w:cs="Arial"/>
                <w:sz w:val="18"/>
              </w:rPr>
              <w:t xml:space="preserve">&gt;10 </w:t>
            </w:r>
          </w:p>
        </w:tc>
        <w:tc>
          <w:tcPr>
            <w:tcW w:w="2640" w:type="dxa"/>
            <w:tcBorders>
              <w:top w:val="single" w:sz="4" w:space="0" w:color="563C80"/>
              <w:left w:val="single" w:sz="4" w:space="0" w:color="563C80"/>
              <w:bottom w:val="single" w:sz="8" w:space="0" w:color="563C80"/>
              <w:right w:val="single" w:sz="4" w:space="0" w:color="563C80"/>
            </w:tcBorders>
          </w:tcPr>
          <w:p w14:paraId="75B175F5" w14:textId="77777777" w:rsidR="006F0DDB" w:rsidRDefault="00000000">
            <w:pPr>
              <w:spacing w:after="0" w:line="259" w:lineRule="auto"/>
              <w:ind w:left="39" w:right="0" w:firstLine="0"/>
              <w:jc w:val="left"/>
            </w:pPr>
            <w:r>
              <w:rPr>
                <w:rFonts w:ascii="Arial" w:eastAsia="Arial" w:hAnsi="Arial" w:cs="Arial"/>
                <w:sz w:val="18"/>
              </w:rPr>
              <w:t xml:space="preserve">                  6   </w:t>
            </w:r>
            <w:proofErr w:type="gramStart"/>
            <w:r>
              <w:rPr>
                <w:rFonts w:ascii="Arial" w:eastAsia="Arial" w:hAnsi="Arial" w:cs="Arial"/>
                <w:sz w:val="18"/>
              </w:rPr>
              <w:t xml:space="preserve">   (</w:t>
            </w:r>
            <w:proofErr w:type="gramEnd"/>
            <w:r>
              <w:rPr>
                <w:rFonts w:ascii="Arial" w:eastAsia="Arial" w:hAnsi="Arial" w:cs="Arial"/>
                <w:sz w:val="18"/>
              </w:rPr>
              <w:t>6.5%)</w:t>
            </w:r>
          </w:p>
        </w:tc>
        <w:tc>
          <w:tcPr>
            <w:tcW w:w="2638" w:type="dxa"/>
            <w:tcBorders>
              <w:top w:val="single" w:sz="4" w:space="0" w:color="563C80"/>
              <w:left w:val="single" w:sz="4" w:space="0" w:color="563C80"/>
              <w:bottom w:val="single" w:sz="8" w:space="0" w:color="563C80"/>
              <w:right w:val="single" w:sz="8" w:space="0" w:color="563C80"/>
            </w:tcBorders>
          </w:tcPr>
          <w:p w14:paraId="34071BF6" w14:textId="77777777" w:rsidR="006F0DDB" w:rsidRDefault="00000000">
            <w:pPr>
              <w:spacing w:after="0" w:line="259" w:lineRule="auto"/>
              <w:ind w:left="37" w:right="0" w:firstLine="0"/>
              <w:jc w:val="left"/>
            </w:pPr>
            <w:r>
              <w:rPr>
                <w:rFonts w:ascii="Arial" w:eastAsia="Arial" w:hAnsi="Arial" w:cs="Arial"/>
                <w:sz w:val="18"/>
              </w:rPr>
              <w:t xml:space="preserve">                16 </w:t>
            </w:r>
            <w:proofErr w:type="gramStart"/>
            <w:r>
              <w:rPr>
                <w:rFonts w:ascii="Arial" w:eastAsia="Arial" w:hAnsi="Arial" w:cs="Arial"/>
                <w:sz w:val="18"/>
              </w:rPr>
              <w:t xml:space="preserve">   (</w:t>
            </w:r>
            <w:proofErr w:type="gramEnd"/>
            <w:r>
              <w:rPr>
                <w:rFonts w:ascii="Arial" w:eastAsia="Arial" w:hAnsi="Arial" w:cs="Arial"/>
                <w:sz w:val="18"/>
              </w:rPr>
              <w:t>19.8%)</w:t>
            </w:r>
          </w:p>
        </w:tc>
      </w:tr>
    </w:tbl>
    <w:p w14:paraId="16DD9E74" w14:textId="77777777" w:rsidR="006F0DDB" w:rsidRDefault="006F0DDB">
      <w:pPr>
        <w:sectPr w:rsidR="006F0DDB">
          <w:type w:val="continuous"/>
          <w:pgSz w:w="11700" w:h="15660"/>
          <w:pgMar w:top="1440" w:right="1440" w:bottom="1089" w:left="1440" w:header="720" w:footer="720" w:gutter="0"/>
          <w:cols w:space="720"/>
        </w:sectPr>
      </w:pPr>
    </w:p>
    <w:p w14:paraId="4F1473F9" w14:textId="77777777" w:rsidR="006F0DDB" w:rsidRDefault="00000000">
      <w:pPr>
        <w:spacing w:after="360" w:line="233" w:lineRule="auto"/>
        <w:ind w:left="-5" w:right="0" w:hanging="10"/>
        <w:jc w:val="left"/>
      </w:pPr>
      <w:r>
        <w:rPr>
          <w:rFonts w:ascii="Arial" w:eastAsia="Arial" w:hAnsi="Arial" w:cs="Arial"/>
          <w:sz w:val="18"/>
        </w:rPr>
        <w:t>*No catheter sizes were found for 22, 24, and 30 Fr.</w:t>
      </w:r>
    </w:p>
    <w:p w14:paraId="5EB1FB43" w14:textId="77777777" w:rsidR="006F0DDB" w:rsidRDefault="00000000">
      <w:pPr>
        <w:ind w:left="5" w:right="5" w:firstLine="0"/>
      </w:pPr>
      <w:r>
        <w:t xml:space="preserve">community nurse (UK) or home health nurse (USA). Participants were asked, either at this visit or later by telephone, to complete the International Consultation on Incontinence Questionnaire – Long-Term Catheter Quality of Life (ICIQ-LTCqol) questionnaire; approximate time for completion was 10 minutes. The ICIQLTCqol is a comprehensive, validated, universally accepted, self-completion questionnaire to assess the impact of living with a long-term IUC. It consists of two scored domains: catheter function and concern (9 items; score range 0 to 42; higher scores, worse QoL) and lifestyle impact (3 items; score range 3 to 15; higher scores, worse QoL) and four stand-alone items relating to continence pads, pain, sexual activity, and bladder spasm. Developers of this questionnaire report acceptable internal consistency reliability (Cronbach’s alpha 0.76 and 0.74 for each of the two domains) (Cotterill et al., 2016). </w:t>
      </w:r>
    </w:p>
    <w:p w14:paraId="6D011114" w14:textId="77777777" w:rsidR="006F0DDB" w:rsidRDefault="00000000">
      <w:pPr>
        <w:spacing w:after="177"/>
        <w:ind w:left="5" w:right="5"/>
      </w:pPr>
      <w:r>
        <w:t xml:space="preserve">Demographic details, pertinent health history, catheter problems and complications for the past 12months (e.g., blockage, dislodgement, bypassing, CAUTI) and catheter care practice data (e.g., change schedule, irrigation) were extracted from medical records and at the face-to-face visit.  </w:t>
      </w:r>
    </w:p>
    <w:p w14:paraId="5CF92101" w14:textId="77777777" w:rsidR="006F0DDB" w:rsidRDefault="00000000">
      <w:pPr>
        <w:pStyle w:val="Heading3"/>
        <w:ind w:left="15"/>
      </w:pPr>
      <w:r>
        <w:t xml:space="preserve">Sample Characteristics </w:t>
      </w:r>
    </w:p>
    <w:p w14:paraId="5C73FD33" w14:textId="77777777" w:rsidR="006F0DDB" w:rsidRDefault="00000000">
      <w:pPr>
        <w:spacing w:line="259" w:lineRule="auto"/>
        <w:ind w:left="10" w:right="5" w:hanging="10"/>
        <w:jc w:val="right"/>
      </w:pPr>
      <w:r>
        <w:t>We aimed to recruit 122 participants in each coun-</w:t>
      </w:r>
    </w:p>
    <w:p w14:paraId="68C5858F" w14:textId="77777777" w:rsidR="006F0DDB" w:rsidRDefault="00000000">
      <w:pPr>
        <w:spacing w:after="177"/>
        <w:ind w:left="5" w:right="5" w:firstLine="0"/>
      </w:pPr>
      <w:r>
        <w:t xml:space="preserve">try. Data on catheter care variables and QoL for 122 long-term IUC participants per country would allow us to detect a moderate difference between the countries (8% of the theoretical range of the catheter function subscore of 0 to 42) (Cotterill et al., 2016), as described by Sloan and colleagues (2003), with 90% power at the 5% level of significance.  </w:t>
      </w:r>
    </w:p>
    <w:p w14:paraId="7CA1BEB3" w14:textId="77777777" w:rsidR="006F0DDB" w:rsidRDefault="00000000">
      <w:pPr>
        <w:pStyle w:val="Heading3"/>
        <w:ind w:left="15"/>
      </w:pPr>
      <w:r>
        <w:t xml:space="preserve">Data Analysis </w:t>
      </w:r>
    </w:p>
    <w:p w14:paraId="641DCD9D" w14:textId="77777777" w:rsidR="006F0DDB" w:rsidRDefault="00000000">
      <w:pPr>
        <w:ind w:left="5" w:right="5"/>
      </w:pPr>
      <w:r>
        <w:t xml:space="preserve">Descriptive statistics were used to summarise the demographic characteristics, reason for having a longterm ICU, type and size, duration of catheter use, catheter-related problems and complications, </w:t>
      </w:r>
      <w:proofErr w:type="gramStart"/>
      <w:r>
        <w:t>frequency</w:t>
      </w:r>
      <w:proofErr w:type="gramEnd"/>
      <w:r>
        <w:t xml:space="preserve"> and reason for catheter change, and catheter-related QoL of the cohort of participants recruited in each country. Inferential statistical tests (Mann Whitney U, Chi-square) were used to assess differences between countries in these variables. </w:t>
      </w:r>
    </w:p>
    <w:p w14:paraId="6665F226" w14:textId="77777777" w:rsidR="006F0DDB" w:rsidRDefault="00000000">
      <w:pPr>
        <w:spacing w:after="90" w:line="259" w:lineRule="auto"/>
        <w:ind w:left="360" w:right="0" w:firstLine="0"/>
        <w:jc w:val="left"/>
      </w:pPr>
      <w:r>
        <w:t xml:space="preserve"> </w:t>
      </w:r>
    </w:p>
    <w:p w14:paraId="70078E25" w14:textId="77777777" w:rsidR="006F0DDB" w:rsidRDefault="00000000">
      <w:pPr>
        <w:pStyle w:val="Heading2"/>
        <w:ind w:left="15"/>
      </w:pPr>
      <w:r>
        <w:t xml:space="preserve">Results </w:t>
      </w:r>
    </w:p>
    <w:p w14:paraId="6CE50252" w14:textId="77777777" w:rsidR="006F0DDB" w:rsidRDefault="00000000">
      <w:pPr>
        <w:spacing w:after="73"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4D81A182" wp14:editId="011DDE82">
                <wp:extent cx="2965450" cy="25400"/>
                <wp:effectExtent l="0" t="0" r="0" b="0"/>
                <wp:docPr id="33047" name="Group 33047"/>
                <wp:cNvGraphicFramePr/>
                <a:graphic xmlns:a="http://schemas.openxmlformats.org/drawingml/2006/main">
                  <a:graphicData uri="http://schemas.microsoft.com/office/word/2010/wordprocessingGroup">
                    <wpg:wgp>
                      <wpg:cNvGrpSpPr/>
                      <wpg:grpSpPr>
                        <a:xfrm>
                          <a:off x="0" y="0"/>
                          <a:ext cx="2965450" cy="25400"/>
                          <a:chOff x="0" y="0"/>
                          <a:chExt cx="2965450" cy="25400"/>
                        </a:xfrm>
                      </wpg:grpSpPr>
                      <wps:wsp>
                        <wps:cNvPr id="1562" name="Shape 1562"/>
                        <wps:cNvSpPr/>
                        <wps:spPr>
                          <a:xfrm>
                            <a:off x="0" y="0"/>
                            <a:ext cx="2965450" cy="0"/>
                          </a:xfrm>
                          <a:custGeom>
                            <a:avLst/>
                            <a:gdLst/>
                            <a:ahLst/>
                            <a:cxnLst/>
                            <a:rect l="0" t="0" r="0" b="0"/>
                            <a:pathLst>
                              <a:path w="2965450">
                                <a:moveTo>
                                  <a:pt x="0" y="0"/>
                                </a:moveTo>
                                <a:lnTo>
                                  <a:pt x="2965450" y="0"/>
                                </a:lnTo>
                              </a:path>
                            </a:pathLst>
                          </a:custGeom>
                          <a:ln w="25400" cap="flat">
                            <a:miter lim="127000"/>
                          </a:ln>
                        </wps:spPr>
                        <wps:style>
                          <a:lnRef idx="1">
                            <a:srgbClr val="9F8CB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3047" style="width:233.5pt;height:2pt;mso-position-horizontal-relative:char;mso-position-vertical-relative:line" coordsize="29654,254">
                <v:shape id="Shape 1562" style="position:absolute;width:29654;height:0;left:0;top:0;" coordsize="2965450,0" path="m0,0l2965450,0">
                  <v:stroke weight="2pt" endcap="flat" joinstyle="miter" miterlimit="10" on="true" color="#9f8cb9"/>
                  <v:fill on="false" color="#000000" opacity="0"/>
                </v:shape>
              </v:group>
            </w:pict>
          </mc:Fallback>
        </mc:AlternateContent>
      </w:r>
    </w:p>
    <w:p w14:paraId="2896FEC0" w14:textId="77777777" w:rsidR="006F0DDB" w:rsidRDefault="00000000">
      <w:pPr>
        <w:spacing w:line="259" w:lineRule="auto"/>
        <w:ind w:left="10" w:right="5" w:hanging="10"/>
        <w:jc w:val="right"/>
      </w:pPr>
      <w:r>
        <w:t xml:space="preserve">Recruitment took place from November 2021 to </w:t>
      </w:r>
    </w:p>
    <w:p w14:paraId="43B7C213" w14:textId="77777777" w:rsidR="006F0DDB" w:rsidRDefault="00000000">
      <w:pPr>
        <w:ind w:left="5" w:right="5" w:firstLine="0"/>
      </w:pPr>
      <w:r>
        <w:t>March 2022. In total, 190 participants were recruited, 93 (49%) in the United Kingdom and 97 (51%) from the United States. The SARS-CoV-2 pandemic caused major disruptions to the study progress, limiting the opportunity to recruit individuals in their home setting.</w:t>
      </w:r>
    </w:p>
    <w:tbl>
      <w:tblPr>
        <w:tblStyle w:val="TableGrid"/>
        <w:tblpPr w:vertAnchor="text" w:horzAnchor="margin"/>
        <w:tblOverlap w:val="never"/>
        <w:tblW w:w="9796" w:type="dxa"/>
        <w:tblInd w:w="0" w:type="dxa"/>
        <w:tblCellMar>
          <w:top w:w="0" w:type="dxa"/>
          <w:left w:w="1714" w:type="dxa"/>
          <w:bottom w:w="0" w:type="dxa"/>
          <w:right w:w="115" w:type="dxa"/>
        </w:tblCellMar>
        <w:tblLook w:val="04A0" w:firstRow="1" w:lastRow="0" w:firstColumn="1" w:lastColumn="0" w:noHBand="0" w:noVBand="1"/>
      </w:tblPr>
      <w:tblGrid>
        <w:gridCol w:w="9796"/>
      </w:tblGrid>
      <w:tr w:rsidR="006F0DDB" w14:paraId="2DFA459D" w14:textId="77777777">
        <w:trPr>
          <w:trHeight w:val="5381"/>
        </w:trPr>
        <w:tc>
          <w:tcPr>
            <w:tcW w:w="5185" w:type="dxa"/>
            <w:tcBorders>
              <w:top w:val="nil"/>
              <w:left w:val="nil"/>
              <w:bottom w:val="nil"/>
              <w:right w:val="nil"/>
            </w:tcBorders>
          </w:tcPr>
          <w:p w14:paraId="7B9D20D3" w14:textId="77777777" w:rsidR="006F0DDB" w:rsidRDefault="00000000">
            <w:pPr>
              <w:spacing w:after="0" w:line="259" w:lineRule="auto"/>
              <w:ind w:left="0" w:right="1739" w:firstLine="0"/>
              <w:jc w:val="center"/>
            </w:pPr>
            <w:r>
              <w:rPr>
                <w:rFonts w:ascii="Arial" w:eastAsia="Arial" w:hAnsi="Arial" w:cs="Arial"/>
              </w:rPr>
              <w:lastRenderedPageBreak/>
              <w:t xml:space="preserve">Figure 1.  </w:t>
            </w:r>
          </w:p>
          <w:p w14:paraId="56013B42" w14:textId="77777777" w:rsidR="006F0DDB" w:rsidRDefault="00000000">
            <w:pPr>
              <w:spacing w:after="0" w:line="259" w:lineRule="auto"/>
              <w:ind w:left="0" w:right="1739" w:firstLine="0"/>
              <w:jc w:val="center"/>
            </w:pPr>
            <w:r>
              <w:rPr>
                <w:rFonts w:ascii="Arial" w:eastAsia="Arial" w:hAnsi="Arial" w:cs="Arial"/>
              </w:rPr>
              <w:t xml:space="preserve">Box and Whisker Plot of Number of Urinary Tract  </w:t>
            </w:r>
          </w:p>
          <w:p w14:paraId="084B2F84" w14:textId="77777777" w:rsidR="006F0DDB" w:rsidRDefault="00000000">
            <w:pPr>
              <w:spacing w:after="295"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71EDD260" wp14:editId="4BACB313">
                      <wp:extent cx="3954310" cy="2555743"/>
                      <wp:effectExtent l="0" t="0" r="0" b="0"/>
                      <wp:docPr id="30208" name="Group 30208"/>
                      <wp:cNvGraphicFramePr/>
                      <a:graphic xmlns:a="http://schemas.openxmlformats.org/drawingml/2006/main">
                        <a:graphicData uri="http://schemas.microsoft.com/office/word/2010/wordprocessingGroup">
                          <wpg:wgp>
                            <wpg:cNvGrpSpPr/>
                            <wpg:grpSpPr>
                              <a:xfrm>
                                <a:off x="0" y="0"/>
                                <a:ext cx="3954310" cy="2555743"/>
                                <a:chOff x="0" y="0"/>
                                <a:chExt cx="3954310" cy="2555743"/>
                              </a:xfrm>
                            </wpg:grpSpPr>
                            <wps:wsp>
                              <wps:cNvPr id="1982" name="Rectangle 1982"/>
                              <wps:cNvSpPr/>
                              <wps:spPr>
                                <a:xfrm>
                                  <a:off x="522251" y="0"/>
                                  <a:ext cx="3870336" cy="153709"/>
                                </a:xfrm>
                                <a:prstGeom prst="rect">
                                  <a:avLst/>
                                </a:prstGeom>
                                <a:ln>
                                  <a:noFill/>
                                </a:ln>
                              </wps:spPr>
                              <wps:txbx>
                                <w:txbxContent>
                                  <w:p w14:paraId="24242959" w14:textId="77777777" w:rsidR="006F0DDB" w:rsidRDefault="00000000">
                                    <w:pPr>
                                      <w:spacing w:after="160" w:line="259" w:lineRule="auto"/>
                                      <w:ind w:left="0" w:right="0" w:firstLine="0"/>
                                      <w:jc w:val="left"/>
                                    </w:pPr>
                                    <w:r>
                                      <w:rPr>
                                        <w:rFonts w:ascii="Arial" w:eastAsia="Arial" w:hAnsi="Arial" w:cs="Arial"/>
                                      </w:rPr>
                                      <w:t>Infections (UTIs) in the Last 12 Months by Country</w:t>
                                    </w:r>
                                  </w:p>
                                </w:txbxContent>
                              </wps:txbx>
                              <wps:bodyPr horzOverflow="overflow" vert="horz" lIns="0" tIns="0" rIns="0" bIns="0" rtlCol="0">
                                <a:noAutofit/>
                              </wps:bodyPr>
                            </wps:wsp>
                            <wps:wsp>
                              <wps:cNvPr id="1984" name="Shape 1984"/>
                              <wps:cNvSpPr/>
                              <wps:spPr>
                                <a:xfrm>
                                  <a:off x="0" y="239733"/>
                                  <a:ext cx="3954310" cy="2316010"/>
                                </a:xfrm>
                                <a:custGeom>
                                  <a:avLst/>
                                  <a:gdLst/>
                                  <a:ahLst/>
                                  <a:cxnLst/>
                                  <a:rect l="0" t="0" r="0" b="0"/>
                                  <a:pathLst>
                                    <a:path w="3954310" h="2316010">
                                      <a:moveTo>
                                        <a:pt x="0" y="2316010"/>
                                      </a:moveTo>
                                      <a:lnTo>
                                        <a:pt x="3954310" y="2316010"/>
                                      </a:lnTo>
                                      <a:lnTo>
                                        <a:pt x="3954310" y="0"/>
                                      </a:lnTo>
                                      <a:lnTo>
                                        <a:pt x="0" y="0"/>
                                      </a:lnTo>
                                      <a:close/>
                                    </a:path>
                                  </a:pathLst>
                                </a:custGeom>
                                <a:ln w="8090" cap="flat">
                                  <a:miter lim="127000"/>
                                </a:ln>
                              </wps:spPr>
                              <wps:style>
                                <a:lnRef idx="1">
                                  <a:srgbClr val="563C80"/>
                                </a:lnRef>
                                <a:fillRef idx="0">
                                  <a:srgbClr val="000000">
                                    <a:alpha val="0"/>
                                  </a:srgbClr>
                                </a:fillRef>
                                <a:effectRef idx="0">
                                  <a:scrgbClr r="0" g="0" b="0"/>
                                </a:effectRef>
                                <a:fontRef idx="none"/>
                              </wps:style>
                              <wps:bodyPr/>
                            </wps:wsp>
                            <wps:wsp>
                              <wps:cNvPr id="1985" name="Shape 1985"/>
                              <wps:cNvSpPr/>
                              <wps:spPr>
                                <a:xfrm>
                                  <a:off x="551371" y="358542"/>
                                  <a:ext cx="3248025" cy="1814754"/>
                                </a:xfrm>
                                <a:custGeom>
                                  <a:avLst/>
                                  <a:gdLst/>
                                  <a:ahLst/>
                                  <a:cxnLst/>
                                  <a:rect l="0" t="0" r="0" b="0"/>
                                  <a:pathLst>
                                    <a:path w="3248025" h="1814754">
                                      <a:moveTo>
                                        <a:pt x="3248025" y="1814754"/>
                                      </a:moveTo>
                                      <a:lnTo>
                                        <a:pt x="0" y="1814754"/>
                                      </a:lnTo>
                                      <a:lnTo>
                                        <a:pt x="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986" name="Shape 1986"/>
                              <wps:cNvSpPr/>
                              <wps:spPr>
                                <a:xfrm>
                                  <a:off x="511403" y="462428"/>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987" name="Shape 1987"/>
                              <wps:cNvSpPr/>
                              <wps:spPr>
                                <a:xfrm>
                                  <a:off x="511403" y="732607"/>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988" name="Shape 1988"/>
                              <wps:cNvSpPr/>
                              <wps:spPr>
                                <a:xfrm>
                                  <a:off x="511403" y="1001161"/>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989" name="Shape 1989"/>
                              <wps:cNvSpPr/>
                              <wps:spPr>
                                <a:xfrm>
                                  <a:off x="511403" y="1271341"/>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990" name="Shape 1990"/>
                              <wps:cNvSpPr/>
                              <wps:spPr>
                                <a:xfrm>
                                  <a:off x="511403" y="1539895"/>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991" name="Shape 1991"/>
                              <wps:cNvSpPr/>
                              <wps:spPr>
                                <a:xfrm>
                                  <a:off x="511403" y="1808463"/>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992" name="Shape 1992"/>
                              <wps:cNvSpPr/>
                              <wps:spPr>
                                <a:xfrm>
                                  <a:off x="511403" y="2077017"/>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1993" name="Rectangle 1993"/>
                              <wps:cNvSpPr/>
                              <wps:spPr>
                                <a:xfrm rot="-5399999">
                                  <a:off x="-842671" y="943897"/>
                                  <a:ext cx="2086811" cy="138337"/>
                                </a:xfrm>
                                <a:prstGeom prst="rect">
                                  <a:avLst/>
                                </a:prstGeom>
                                <a:ln>
                                  <a:noFill/>
                                </a:ln>
                              </wps:spPr>
                              <wps:txbx>
                                <w:txbxContent>
                                  <w:p w14:paraId="7CF8B5DD" w14:textId="77777777" w:rsidR="006F0DDB" w:rsidRDefault="00000000">
                                    <w:pPr>
                                      <w:spacing w:after="160" w:line="259" w:lineRule="auto"/>
                                      <w:ind w:left="0" w:right="0" w:firstLine="0"/>
                                      <w:jc w:val="left"/>
                                    </w:pPr>
                                    <w:r>
                                      <w:rPr>
                                        <w:rFonts w:ascii="Arial" w:eastAsia="Arial" w:hAnsi="Arial" w:cs="Arial"/>
                                        <w:sz w:val="18"/>
                                      </w:rPr>
                                      <w:t>Number of UTIs in 12 Months</w:t>
                                    </w:r>
                                  </w:p>
                                </w:txbxContent>
                              </wps:txbx>
                              <wps:bodyPr horzOverflow="overflow" vert="horz" lIns="0" tIns="0" rIns="0" bIns="0" rtlCol="0">
                                <a:noAutofit/>
                              </wps:bodyPr>
                            </wps:wsp>
                            <wps:wsp>
                              <wps:cNvPr id="1994" name="Rectangle 1994"/>
                              <wps:cNvSpPr/>
                              <wps:spPr>
                                <a:xfrm>
                                  <a:off x="263346" y="415489"/>
                                  <a:ext cx="290767" cy="140466"/>
                                </a:xfrm>
                                <a:prstGeom prst="rect">
                                  <a:avLst/>
                                </a:prstGeom>
                                <a:ln>
                                  <a:noFill/>
                                </a:ln>
                              </wps:spPr>
                              <wps:txbx>
                                <w:txbxContent>
                                  <w:p w14:paraId="1BA75B59" w14:textId="77777777" w:rsidR="006F0DDB" w:rsidRDefault="00000000">
                                    <w:pPr>
                                      <w:spacing w:after="160" w:line="259" w:lineRule="auto"/>
                                      <w:ind w:left="0" w:right="0" w:firstLine="0"/>
                                      <w:jc w:val="left"/>
                                    </w:pPr>
                                    <w:r>
                                      <w:rPr>
                                        <w:rFonts w:ascii="Arial" w:eastAsia="Arial" w:hAnsi="Arial" w:cs="Arial"/>
                                        <w:sz w:val="18"/>
                                      </w:rPr>
                                      <w:t>12.0</w:t>
                                    </w:r>
                                  </w:p>
                                </w:txbxContent>
                              </wps:txbx>
                              <wps:bodyPr horzOverflow="overflow" vert="horz" lIns="0" tIns="0" rIns="0" bIns="0" rtlCol="0">
                                <a:noAutofit/>
                              </wps:bodyPr>
                            </wps:wsp>
                            <wps:wsp>
                              <wps:cNvPr id="1995" name="Rectangle 1995"/>
                              <wps:cNvSpPr/>
                              <wps:spPr>
                                <a:xfrm>
                                  <a:off x="480692" y="415489"/>
                                  <a:ext cx="42261" cy="140466"/>
                                </a:xfrm>
                                <a:prstGeom prst="rect">
                                  <a:avLst/>
                                </a:prstGeom>
                                <a:ln>
                                  <a:noFill/>
                                </a:ln>
                              </wps:spPr>
                              <wps:txbx>
                                <w:txbxContent>
                                  <w:p w14:paraId="7BE57F59"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1996" name="Rectangle 1996"/>
                              <wps:cNvSpPr/>
                              <wps:spPr>
                                <a:xfrm>
                                  <a:off x="263346" y="685997"/>
                                  <a:ext cx="290767" cy="140466"/>
                                </a:xfrm>
                                <a:prstGeom prst="rect">
                                  <a:avLst/>
                                </a:prstGeom>
                                <a:ln>
                                  <a:noFill/>
                                </a:ln>
                              </wps:spPr>
                              <wps:txbx>
                                <w:txbxContent>
                                  <w:p w14:paraId="53FFC7CA" w14:textId="77777777" w:rsidR="006F0DDB" w:rsidRDefault="00000000">
                                    <w:pPr>
                                      <w:spacing w:after="160" w:line="259" w:lineRule="auto"/>
                                      <w:ind w:left="0" w:right="0" w:firstLine="0"/>
                                      <w:jc w:val="left"/>
                                    </w:pPr>
                                    <w:r>
                                      <w:rPr>
                                        <w:rFonts w:ascii="Arial" w:eastAsia="Arial" w:hAnsi="Arial" w:cs="Arial"/>
                                        <w:sz w:val="18"/>
                                      </w:rPr>
                                      <w:t>10.0</w:t>
                                    </w:r>
                                  </w:p>
                                </w:txbxContent>
                              </wps:txbx>
                              <wps:bodyPr horzOverflow="overflow" vert="horz" lIns="0" tIns="0" rIns="0" bIns="0" rtlCol="0">
                                <a:noAutofit/>
                              </wps:bodyPr>
                            </wps:wsp>
                            <wps:wsp>
                              <wps:cNvPr id="1997" name="Rectangle 1997"/>
                              <wps:cNvSpPr/>
                              <wps:spPr>
                                <a:xfrm>
                                  <a:off x="480692" y="685997"/>
                                  <a:ext cx="42261" cy="140466"/>
                                </a:xfrm>
                                <a:prstGeom prst="rect">
                                  <a:avLst/>
                                </a:prstGeom>
                                <a:ln>
                                  <a:noFill/>
                                </a:ln>
                              </wps:spPr>
                              <wps:txbx>
                                <w:txbxContent>
                                  <w:p w14:paraId="267357B6"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1998" name="Rectangle 1998"/>
                              <wps:cNvSpPr/>
                              <wps:spPr>
                                <a:xfrm>
                                  <a:off x="325625" y="956508"/>
                                  <a:ext cx="207932" cy="140466"/>
                                </a:xfrm>
                                <a:prstGeom prst="rect">
                                  <a:avLst/>
                                </a:prstGeom>
                                <a:ln>
                                  <a:noFill/>
                                </a:ln>
                              </wps:spPr>
                              <wps:txbx>
                                <w:txbxContent>
                                  <w:p w14:paraId="2D688358" w14:textId="77777777" w:rsidR="006F0DDB" w:rsidRDefault="00000000">
                                    <w:pPr>
                                      <w:spacing w:after="160" w:line="259" w:lineRule="auto"/>
                                      <w:ind w:left="0" w:right="0" w:firstLine="0"/>
                                      <w:jc w:val="left"/>
                                    </w:pPr>
                                    <w:r>
                                      <w:rPr>
                                        <w:rFonts w:ascii="Arial" w:eastAsia="Arial" w:hAnsi="Arial" w:cs="Arial"/>
                                        <w:sz w:val="18"/>
                                      </w:rPr>
                                      <w:t>8.0</w:t>
                                    </w:r>
                                  </w:p>
                                </w:txbxContent>
                              </wps:txbx>
                              <wps:bodyPr horzOverflow="overflow" vert="horz" lIns="0" tIns="0" rIns="0" bIns="0" rtlCol="0">
                                <a:noAutofit/>
                              </wps:bodyPr>
                            </wps:wsp>
                            <wps:wsp>
                              <wps:cNvPr id="1999" name="Rectangle 1999"/>
                              <wps:cNvSpPr/>
                              <wps:spPr>
                                <a:xfrm>
                                  <a:off x="480692" y="956508"/>
                                  <a:ext cx="42261" cy="140466"/>
                                </a:xfrm>
                                <a:prstGeom prst="rect">
                                  <a:avLst/>
                                </a:prstGeom>
                                <a:ln>
                                  <a:noFill/>
                                </a:ln>
                              </wps:spPr>
                              <wps:txbx>
                                <w:txbxContent>
                                  <w:p w14:paraId="590E4CCC"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2000" name="Rectangle 2000"/>
                              <wps:cNvSpPr/>
                              <wps:spPr>
                                <a:xfrm>
                                  <a:off x="325625" y="1227015"/>
                                  <a:ext cx="207932" cy="140466"/>
                                </a:xfrm>
                                <a:prstGeom prst="rect">
                                  <a:avLst/>
                                </a:prstGeom>
                                <a:ln>
                                  <a:noFill/>
                                </a:ln>
                              </wps:spPr>
                              <wps:txbx>
                                <w:txbxContent>
                                  <w:p w14:paraId="1EAF7318" w14:textId="77777777" w:rsidR="006F0DDB" w:rsidRDefault="00000000">
                                    <w:pPr>
                                      <w:spacing w:after="160" w:line="259" w:lineRule="auto"/>
                                      <w:ind w:left="0" w:right="0" w:firstLine="0"/>
                                      <w:jc w:val="left"/>
                                    </w:pPr>
                                    <w:r>
                                      <w:rPr>
                                        <w:rFonts w:ascii="Arial" w:eastAsia="Arial" w:hAnsi="Arial" w:cs="Arial"/>
                                        <w:sz w:val="18"/>
                                      </w:rPr>
                                      <w:t>6.0</w:t>
                                    </w:r>
                                  </w:p>
                                </w:txbxContent>
                              </wps:txbx>
                              <wps:bodyPr horzOverflow="overflow" vert="horz" lIns="0" tIns="0" rIns="0" bIns="0" rtlCol="0">
                                <a:noAutofit/>
                              </wps:bodyPr>
                            </wps:wsp>
                            <wps:wsp>
                              <wps:cNvPr id="2001" name="Rectangle 2001"/>
                              <wps:cNvSpPr/>
                              <wps:spPr>
                                <a:xfrm>
                                  <a:off x="480692" y="1227015"/>
                                  <a:ext cx="42261" cy="140466"/>
                                </a:xfrm>
                                <a:prstGeom prst="rect">
                                  <a:avLst/>
                                </a:prstGeom>
                                <a:ln>
                                  <a:noFill/>
                                </a:ln>
                              </wps:spPr>
                              <wps:txbx>
                                <w:txbxContent>
                                  <w:p w14:paraId="476EDCA8"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2002" name="Rectangle 2002"/>
                              <wps:cNvSpPr/>
                              <wps:spPr>
                                <a:xfrm>
                                  <a:off x="325625" y="1497526"/>
                                  <a:ext cx="207932" cy="140466"/>
                                </a:xfrm>
                                <a:prstGeom prst="rect">
                                  <a:avLst/>
                                </a:prstGeom>
                                <a:ln>
                                  <a:noFill/>
                                </a:ln>
                              </wps:spPr>
                              <wps:txbx>
                                <w:txbxContent>
                                  <w:p w14:paraId="2E539274" w14:textId="77777777" w:rsidR="006F0DDB" w:rsidRDefault="00000000">
                                    <w:pPr>
                                      <w:spacing w:after="160" w:line="259" w:lineRule="auto"/>
                                      <w:ind w:left="0" w:right="0" w:firstLine="0"/>
                                      <w:jc w:val="left"/>
                                    </w:pPr>
                                    <w:r>
                                      <w:rPr>
                                        <w:rFonts w:ascii="Arial" w:eastAsia="Arial" w:hAnsi="Arial" w:cs="Arial"/>
                                        <w:sz w:val="18"/>
                                      </w:rPr>
                                      <w:t>4.0</w:t>
                                    </w:r>
                                  </w:p>
                                </w:txbxContent>
                              </wps:txbx>
                              <wps:bodyPr horzOverflow="overflow" vert="horz" lIns="0" tIns="0" rIns="0" bIns="0" rtlCol="0">
                                <a:noAutofit/>
                              </wps:bodyPr>
                            </wps:wsp>
                            <wps:wsp>
                              <wps:cNvPr id="2003" name="Rectangle 2003"/>
                              <wps:cNvSpPr/>
                              <wps:spPr>
                                <a:xfrm>
                                  <a:off x="480692" y="1497526"/>
                                  <a:ext cx="42261" cy="140466"/>
                                </a:xfrm>
                                <a:prstGeom prst="rect">
                                  <a:avLst/>
                                </a:prstGeom>
                                <a:ln>
                                  <a:noFill/>
                                </a:ln>
                              </wps:spPr>
                              <wps:txbx>
                                <w:txbxContent>
                                  <w:p w14:paraId="70FBC681"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2004" name="Rectangle 2004"/>
                              <wps:cNvSpPr/>
                              <wps:spPr>
                                <a:xfrm>
                                  <a:off x="325625" y="1768036"/>
                                  <a:ext cx="207932" cy="140466"/>
                                </a:xfrm>
                                <a:prstGeom prst="rect">
                                  <a:avLst/>
                                </a:prstGeom>
                                <a:ln>
                                  <a:noFill/>
                                </a:ln>
                              </wps:spPr>
                              <wps:txbx>
                                <w:txbxContent>
                                  <w:p w14:paraId="11D8C57B" w14:textId="77777777" w:rsidR="006F0DDB" w:rsidRDefault="00000000">
                                    <w:pPr>
                                      <w:spacing w:after="160" w:line="259" w:lineRule="auto"/>
                                      <w:ind w:left="0" w:right="0" w:firstLine="0"/>
                                      <w:jc w:val="left"/>
                                    </w:pPr>
                                    <w:r>
                                      <w:rPr>
                                        <w:rFonts w:ascii="Arial" w:eastAsia="Arial" w:hAnsi="Arial" w:cs="Arial"/>
                                        <w:sz w:val="18"/>
                                      </w:rPr>
                                      <w:t>2.0</w:t>
                                    </w:r>
                                  </w:p>
                                </w:txbxContent>
                              </wps:txbx>
                              <wps:bodyPr horzOverflow="overflow" vert="horz" lIns="0" tIns="0" rIns="0" bIns="0" rtlCol="0">
                                <a:noAutofit/>
                              </wps:bodyPr>
                            </wps:wsp>
                            <wps:wsp>
                              <wps:cNvPr id="2005" name="Rectangle 2005"/>
                              <wps:cNvSpPr/>
                              <wps:spPr>
                                <a:xfrm>
                                  <a:off x="480692" y="1768036"/>
                                  <a:ext cx="42261" cy="140466"/>
                                </a:xfrm>
                                <a:prstGeom prst="rect">
                                  <a:avLst/>
                                </a:prstGeom>
                                <a:ln>
                                  <a:noFill/>
                                </a:ln>
                              </wps:spPr>
                              <wps:txbx>
                                <w:txbxContent>
                                  <w:p w14:paraId="1B9C22DF"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2006" name="Rectangle 2006"/>
                              <wps:cNvSpPr/>
                              <wps:spPr>
                                <a:xfrm>
                                  <a:off x="325625" y="2038545"/>
                                  <a:ext cx="207932" cy="140466"/>
                                </a:xfrm>
                                <a:prstGeom prst="rect">
                                  <a:avLst/>
                                </a:prstGeom>
                                <a:ln>
                                  <a:noFill/>
                                </a:ln>
                              </wps:spPr>
                              <wps:txbx>
                                <w:txbxContent>
                                  <w:p w14:paraId="2646EB17" w14:textId="77777777" w:rsidR="006F0DDB" w:rsidRDefault="00000000">
                                    <w:pPr>
                                      <w:spacing w:after="160" w:line="259" w:lineRule="auto"/>
                                      <w:ind w:left="0" w:right="0" w:firstLine="0"/>
                                      <w:jc w:val="left"/>
                                    </w:pPr>
                                    <w:r>
                                      <w:rPr>
                                        <w:rFonts w:ascii="Arial" w:eastAsia="Arial" w:hAnsi="Arial" w:cs="Arial"/>
                                        <w:sz w:val="18"/>
                                      </w:rPr>
                                      <w:t>0.0</w:t>
                                    </w:r>
                                  </w:p>
                                </w:txbxContent>
                              </wps:txbx>
                              <wps:bodyPr horzOverflow="overflow" vert="horz" lIns="0" tIns="0" rIns="0" bIns="0" rtlCol="0">
                                <a:noAutofit/>
                              </wps:bodyPr>
                            </wps:wsp>
                            <wps:wsp>
                              <wps:cNvPr id="2007" name="Rectangle 2007"/>
                              <wps:cNvSpPr/>
                              <wps:spPr>
                                <a:xfrm>
                                  <a:off x="1019296" y="2239969"/>
                                  <a:ext cx="907493" cy="140466"/>
                                </a:xfrm>
                                <a:prstGeom prst="rect">
                                  <a:avLst/>
                                </a:prstGeom>
                                <a:ln>
                                  <a:noFill/>
                                </a:ln>
                              </wps:spPr>
                              <wps:txbx>
                                <w:txbxContent>
                                  <w:p w14:paraId="15FD36CD" w14:textId="77777777" w:rsidR="006F0DDB" w:rsidRDefault="00000000">
                                    <w:pPr>
                                      <w:spacing w:after="160" w:line="259" w:lineRule="auto"/>
                                      <w:ind w:left="0" w:right="0" w:firstLine="0"/>
                                      <w:jc w:val="left"/>
                                    </w:pPr>
                                    <w:r>
                                      <w:rPr>
                                        <w:rFonts w:ascii="Arial" w:eastAsia="Arial" w:hAnsi="Arial" w:cs="Arial"/>
                                        <w:sz w:val="18"/>
                                      </w:rPr>
                                      <w:t>United States</w:t>
                                    </w:r>
                                  </w:p>
                                </w:txbxContent>
                              </wps:txbx>
                              <wps:bodyPr horzOverflow="overflow" vert="horz" lIns="0" tIns="0" rIns="0" bIns="0" rtlCol="0">
                                <a:noAutofit/>
                              </wps:bodyPr>
                            </wps:wsp>
                            <wps:wsp>
                              <wps:cNvPr id="2008" name="Rectangle 2008"/>
                              <wps:cNvSpPr/>
                              <wps:spPr>
                                <a:xfrm>
                                  <a:off x="2578492" y="2239969"/>
                                  <a:ext cx="1086252" cy="140466"/>
                                </a:xfrm>
                                <a:prstGeom prst="rect">
                                  <a:avLst/>
                                </a:prstGeom>
                                <a:ln>
                                  <a:noFill/>
                                </a:ln>
                              </wps:spPr>
                              <wps:txbx>
                                <w:txbxContent>
                                  <w:p w14:paraId="6B91D4EB" w14:textId="77777777" w:rsidR="006F0DDB" w:rsidRDefault="00000000">
                                    <w:pPr>
                                      <w:spacing w:after="160" w:line="259" w:lineRule="auto"/>
                                      <w:ind w:left="0" w:right="0" w:firstLine="0"/>
                                      <w:jc w:val="left"/>
                                    </w:pPr>
                                    <w:r>
                                      <w:rPr>
                                        <w:rFonts w:ascii="Arial" w:eastAsia="Arial" w:hAnsi="Arial" w:cs="Arial"/>
                                        <w:sz w:val="18"/>
                                      </w:rPr>
                                      <w:t>United Kingdom</w:t>
                                    </w:r>
                                  </w:p>
                                </w:txbxContent>
                              </wps:txbx>
                              <wps:bodyPr horzOverflow="overflow" vert="horz" lIns="0" tIns="0" rIns="0" bIns="0" rtlCol="0">
                                <a:noAutofit/>
                              </wps:bodyPr>
                            </wps:wsp>
                            <wps:wsp>
                              <wps:cNvPr id="2009" name="Rectangle 2009"/>
                              <wps:cNvSpPr/>
                              <wps:spPr>
                                <a:xfrm>
                                  <a:off x="1960552" y="2383672"/>
                                  <a:ext cx="567244" cy="138337"/>
                                </a:xfrm>
                                <a:prstGeom prst="rect">
                                  <a:avLst/>
                                </a:prstGeom>
                                <a:ln>
                                  <a:noFill/>
                                </a:ln>
                              </wps:spPr>
                              <wps:txbx>
                                <w:txbxContent>
                                  <w:p w14:paraId="6ED1685A" w14:textId="77777777" w:rsidR="006F0DDB" w:rsidRDefault="00000000">
                                    <w:pPr>
                                      <w:spacing w:after="160" w:line="259" w:lineRule="auto"/>
                                      <w:ind w:left="0" w:right="0" w:firstLine="0"/>
                                      <w:jc w:val="left"/>
                                    </w:pPr>
                                    <w:r>
                                      <w:rPr>
                                        <w:rFonts w:ascii="Arial" w:eastAsia="Arial" w:hAnsi="Arial" w:cs="Arial"/>
                                        <w:sz w:val="18"/>
                                      </w:rPr>
                                      <w:t>Country</w:t>
                                    </w:r>
                                  </w:p>
                                </w:txbxContent>
                              </wps:txbx>
                              <wps:bodyPr horzOverflow="overflow" vert="horz" lIns="0" tIns="0" rIns="0" bIns="0" rtlCol="0">
                                <a:noAutofit/>
                              </wps:bodyPr>
                            </wps:wsp>
                            <wps:wsp>
                              <wps:cNvPr id="2010" name="Shape 2010"/>
                              <wps:cNvSpPr/>
                              <wps:spPr>
                                <a:xfrm>
                                  <a:off x="1338669" y="2078489"/>
                                  <a:ext cx="192062" cy="0"/>
                                </a:xfrm>
                                <a:custGeom>
                                  <a:avLst/>
                                  <a:gdLst/>
                                  <a:ahLst/>
                                  <a:cxnLst/>
                                  <a:rect l="0" t="0" r="0" b="0"/>
                                  <a:pathLst>
                                    <a:path w="192062">
                                      <a:moveTo>
                                        <a:pt x="0" y="0"/>
                                      </a:moveTo>
                                      <a:lnTo>
                                        <a:pt x="192062"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s:wsp>
                              <wps:cNvPr id="2011" name="Shape 2011"/>
                              <wps:cNvSpPr/>
                              <wps:spPr>
                                <a:xfrm>
                                  <a:off x="1338644" y="1003308"/>
                                  <a:ext cx="192062" cy="0"/>
                                </a:xfrm>
                                <a:custGeom>
                                  <a:avLst/>
                                  <a:gdLst/>
                                  <a:ahLst/>
                                  <a:cxnLst/>
                                  <a:rect l="0" t="0" r="0" b="0"/>
                                  <a:pathLst>
                                    <a:path w="192062">
                                      <a:moveTo>
                                        <a:pt x="0" y="0"/>
                                      </a:moveTo>
                                      <a:lnTo>
                                        <a:pt x="192062"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s:wsp>
                              <wps:cNvPr id="2012" name="Shape 2012"/>
                              <wps:cNvSpPr/>
                              <wps:spPr>
                                <a:xfrm>
                                  <a:off x="1435367" y="1003105"/>
                                  <a:ext cx="0" cy="1076249"/>
                                </a:xfrm>
                                <a:custGeom>
                                  <a:avLst/>
                                  <a:gdLst/>
                                  <a:ahLst/>
                                  <a:cxnLst/>
                                  <a:rect l="0" t="0" r="0" b="0"/>
                                  <a:pathLst>
                                    <a:path h="1076249">
                                      <a:moveTo>
                                        <a:pt x="0" y="0"/>
                                      </a:moveTo>
                                      <a:lnTo>
                                        <a:pt x="0" y="1076249"/>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s:wsp>
                              <wps:cNvPr id="39444" name="Shape 39444"/>
                              <wps:cNvSpPr/>
                              <wps:spPr>
                                <a:xfrm>
                                  <a:off x="1243635" y="1530688"/>
                                  <a:ext cx="386321" cy="275577"/>
                                </a:xfrm>
                                <a:custGeom>
                                  <a:avLst/>
                                  <a:gdLst/>
                                  <a:ahLst/>
                                  <a:cxnLst/>
                                  <a:rect l="0" t="0" r="0" b="0"/>
                                  <a:pathLst>
                                    <a:path w="386321" h="275577">
                                      <a:moveTo>
                                        <a:pt x="0" y="0"/>
                                      </a:moveTo>
                                      <a:lnTo>
                                        <a:pt x="386321" y="0"/>
                                      </a:lnTo>
                                      <a:lnTo>
                                        <a:pt x="386321" y="275577"/>
                                      </a:lnTo>
                                      <a:lnTo>
                                        <a:pt x="0" y="275577"/>
                                      </a:lnTo>
                                      <a:lnTo>
                                        <a:pt x="0" y="0"/>
                                      </a:lnTo>
                                    </a:path>
                                  </a:pathLst>
                                </a:custGeom>
                                <a:ln w="0" cap="flat">
                                  <a:miter lim="127000"/>
                                </a:ln>
                              </wps:spPr>
                              <wps:style>
                                <a:lnRef idx="0">
                                  <a:srgbClr val="000000">
                                    <a:alpha val="0"/>
                                  </a:srgbClr>
                                </a:lnRef>
                                <a:fillRef idx="1">
                                  <a:srgbClr val="8982B3"/>
                                </a:fillRef>
                                <a:effectRef idx="0">
                                  <a:scrgbClr r="0" g="0" b="0"/>
                                </a:effectRef>
                                <a:fontRef idx="none"/>
                              </wps:style>
                              <wps:bodyPr/>
                            </wps:wsp>
                            <wps:wsp>
                              <wps:cNvPr id="39445" name="Shape 39445"/>
                              <wps:cNvSpPr/>
                              <wps:spPr>
                                <a:xfrm>
                                  <a:off x="1243635" y="1806265"/>
                                  <a:ext cx="386321" cy="144259"/>
                                </a:xfrm>
                                <a:custGeom>
                                  <a:avLst/>
                                  <a:gdLst/>
                                  <a:ahLst/>
                                  <a:cxnLst/>
                                  <a:rect l="0" t="0" r="0" b="0"/>
                                  <a:pathLst>
                                    <a:path w="386321" h="144259">
                                      <a:moveTo>
                                        <a:pt x="0" y="0"/>
                                      </a:moveTo>
                                      <a:lnTo>
                                        <a:pt x="386321" y="0"/>
                                      </a:lnTo>
                                      <a:lnTo>
                                        <a:pt x="386321" y="144259"/>
                                      </a:lnTo>
                                      <a:lnTo>
                                        <a:pt x="0" y="144259"/>
                                      </a:lnTo>
                                      <a:lnTo>
                                        <a:pt x="0" y="0"/>
                                      </a:lnTo>
                                    </a:path>
                                  </a:pathLst>
                                </a:custGeom>
                                <a:ln w="0" cap="flat">
                                  <a:miter lim="127000"/>
                                </a:ln>
                              </wps:spPr>
                              <wps:style>
                                <a:lnRef idx="0">
                                  <a:srgbClr val="000000">
                                    <a:alpha val="0"/>
                                  </a:srgbClr>
                                </a:lnRef>
                                <a:fillRef idx="1">
                                  <a:srgbClr val="8982B3"/>
                                </a:fillRef>
                                <a:effectRef idx="0">
                                  <a:scrgbClr r="0" g="0" b="0"/>
                                </a:effectRef>
                                <a:fontRef idx="none"/>
                              </wps:style>
                              <wps:bodyPr/>
                            </wps:wsp>
                            <wps:wsp>
                              <wps:cNvPr id="2017" name="Shape 2017"/>
                              <wps:cNvSpPr/>
                              <wps:spPr>
                                <a:xfrm>
                                  <a:off x="1243635" y="1530688"/>
                                  <a:ext cx="386321" cy="419836"/>
                                </a:xfrm>
                                <a:custGeom>
                                  <a:avLst/>
                                  <a:gdLst/>
                                  <a:ahLst/>
                                  <a:cxnLst/>
                                  <a:rect l="0" t="0" r="0" b="0"/>
                                  <a:pathLst>
                                    <a:path w="386321" h="419836">
                                      <a:moveTo>
                                        <a:pt x="0" y="419836"/>
                                      </a:moveTo>
                                      <a:lnTo>
                                        <a:pt x="386321" y="419836"/>
                                      </a:lnTo>
                                      <a:lnTo>
                                        <a:pt x="386321" y="0"/>
                                      </a:lnTo>
                                      <a:lnTo>
                                        <a:pt x="0" y="0"/>
                                      </a:lnTo>
                                      <a:close/>
                                    </a:path>
                                  </a:pathLst>
                                </a:custGeom>
                                <a:ln w="25400" cap="flat">
                                  <a:miter lim="127000"/>
                                </a:ln>
                              </wps:spPr>
                              <wps:style>
                                <a:lnRef idx="1">
                                  <a:srgbClr val="181717"/>
                                </a:lnRef>
                                <a:fillRef idx="0">
                                  <a:srgbClr val="000000">
                                    <a:alpha val="0"/>
                                  </a:srgbClr>
                                </a:fillRef>
                                <a:effectRef idx="0">
                                  <a:scrgbClr r="0" g="0" b="0"/>
                                </a:effectRef>
                                <a:fontRef idx="none"/>
                              </wps:style>
                              <wps:bodyPr/>
                            </wps:wsp>
                            <wps:wsp>
                              <wps:cNvPr id="2019" name="Shape 2019"/>
                              <wps:cNvSpPr/>
                              <wps:spPr>
                                <a:xfrm>
                                  <a:off x="1256335" y="1806265"/>
                                  <a:ext cx="360921" cy="0"/>
                                </a:xfrm>
                                <a:custGeom>
                                  <a:avLst/>
                                  <a:gdLst/>
                                  <a:ahLst/>
                                  <a:cxnLst/>
                                  <a:rect l="0" t="0" r="0" b="0"/>
                                  <a:pathLst>
                                    <a:path w="360921">
                                      <a:moveTo>
                                        <a:pt x="0" y="0"/>
                                      </a:moveTo>
                                      <a:lnTo>
                                        <a:pt x="360921"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020" name="Shape 2020"/>
                              <wps:cNvSpPr/>
                              <wps:spPr>
                                <a:xfrm>
                                  <a:off x="2791587" y="1810076"/>
                                  <a:ext cx="192062" cy="0"/>
                                </a:xfrm>
                                <a:custGeom>
                                  <a:avLst/>
                                  <a:gdLst/>
                                  <a:ahLst/>
                                  <a:cxnLst/>
                                  <a:rect l="0" t="0" r="0" b="0"/>
                                  <a:pathLst>
                                    <a:path w="192062">
                                      <a:moveTo>
                                        <a:pt x="0" y="0"/>
                                      </a:moveTo>
                                      <a:lnTo>
                                        <a:pt x="192062"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s:wsp>
                              <wps:cNvPr id="2021" name="Shape 2021"/>
                              <wps:cNvSpPr/>
                              <wps:spPr>
                                <a:xfrm>
                                  <a:off x="2888297" y="1810012"/>
                                  <a:ext cx="0" cy="249212"/>
                                </a:xfrm>
                                <a:custGeom>
                                  <a:avLst/>
                                  <a:gdLst/>
                                  <a:ahLst/>
                                  <a:cxnLst/>
                                  <a:rect l="0" t="0" r="0" b="0"/>
                                  <a:pathLst>
                                    <a:path h="249212">
                                      <a:moveTo>
                                        <a:pt x="0" y="0"/>
                                      </a:moveTo>
                                      <a:lnTo>
                                        <a:pt x="0" y="249212"/>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s:wsp>
                              <wps:cNvPr id="39446" name="Shape 39446"/>
                              <wps:cNvSpPr/>
                              <wps:spPr>
                                <a:xfrm>
                                  <a:off x="2700909" y="1930497"/>
                                  <a:ext cx="386321" cy="149060"/>
                                </a:xfrm>
                                <a:custGeom>
                                  <a:avLst/>
                                  <a:gdLst/>
                                  <a:ahLst/>
                                  <a:cxnLst/>
                                  <a:rect l="0" t="0" r="0" b="0"/>
                                  <a:pathLst>
                                    <a:path w="386321" h="149060">
                                      <a:moveTo>
                                        <a:pt x="0" y="0"/>
                                      </a:moveTo>
                                      <a:lnTo>
                                        <a:pt x="386321" y="0"/>
                                      </a:lnTo>
                                      <a:lnTo>
                                        <a:pt x="386321" y="149060"/>
                                      </a:lnTo>
                                      <a:lnTo>
                                        <a:pt x="0" y="149060"/>
                                      </a:lnTo>
                                      <a:lnTo>
                                        <a:pt x="0" y="0"/>
                                      </a:lnTo>
                                    </a:path>
                                  </a:pathLst>
                                </a:custGeom>
                                <a:ln w="0" cap="flat">
                                  <a:miter lim="127000"/>
                                </a:ln>
                              </wps:spPr>
                              <wps:style>
                                <a:lnRef idx="0">
                                  <a:srgbClr val="000000">
                                    <a:alpha val="0"/>
                                  </a:srgbClr>
                                </a:lnRef>
                                <a:fillRef idx="1">
                                  <a:srgbClr val="8982B3"/>
                                </a:fillRef>
                                <a:effectRef idx="0">
                                  <a:scrgbClr r="0" g="0" b="0"/>
                                </a:effectRef>
                                <a:fontRef idx="none"/>
                              </wps:style>
                              <wps:bodyPr/>
                            </wps:wsp>
                            <wps:wsp>
                              <wps:cNvPr id="2025" name="Shape 2025"/>
                              <wps:cNvSpPr/>
                              <wps:spPr>
                                <a:xfrm>
                                  <a:off x="2700909" y="1930497"/>
                                  <a:ext cx="386321" cy="149060"/>
                                </a:xfrm>
                                <a:custGeom>
                                  <a:avLst/>
                                  <a:gdLst/>
                                  <a:ahLst/>
                                  <a:cxnLst/>
                                  <a:rect l="0" t="0" r="0" b="0"/>
                                  <a:pathLst>
                                    <a:path w="386321" h="149060">
                                      <a:moveTo>
                                        <a:pt x="0" y="149060"/>
                                      </a:moveTo>
                                      <a:lnTo>
                                        <a:pt x="386321" y="149060"/>
                                      </a:lnTo>
                                      <a:lnTo>
                                        <a:pt x="386321" y="0"/>
                                      </a:lnTo>
                                      <a:lnTo>
                                        <a:pt x="0" y="0"/>
                                      </a:lnTo>
                                      <a:close/>
                                    </a:path>
                                  </a:pathLst>
                                </a:custGeom>
                                <a:ln w="25400" cap="flat">
                                  <a:miter lim="127000"/>
                                </a:ln>
                              </wps:spPr>
                              <wps:style>
                                <a:lnRef idx="1">
                                  <a:srgbClr val="181717"/>
                                </a:lnRef>
                                <a:fillRef idx="0">
                                  <a:srgbClr val="000000">
                                    <a:alpha val="0"/>
                                  </a:srgbClr>
                                </a:fillRef>
                                <a:effectRef idx="0">
                                  <a:scrgbClr r="0" g="0" b="0"/>
                                </a:effectRef>
                                <a:fontRef idx="none"/>
                              </wps:style>
                              <wps:bodyPr/>
                            </wps:wsp>
                            <wps:wsp>
                              <wps:cNvPr id="2027" name="Rectangle 2027"/>
                              <wps:cNvSpPr/>
                              <wps:spPr>
                                <a:xfrm>
                                  <a:off x="1453450" y="358549"/>
                                  <a:ext cx="130167" cy="109250"/>
                                </a:xfrm>
                                <a:prstGeom prst="rect">
                                  <a:avLst/>
                                </a:prstGeom>
                                <a:ln>
                                  <a:noFill/>
                                </a:ln>
                              </wps:spPr>
                              <wps:txbx>
                                <w:txbxContent>
                                  <w:p w14:paraId="134CC134" w14:textId="77777777" w:rsidR="006F0DDB" w:rsidRDefault="00000000">
                                    <w:pPr>
                                      <w:spacing w:after="160" w:line="259" w:lineRule="auto"/>
                                      <w:ind w:left="0" w:right="0" w:firstLine="0"/>
                                      <w:jc w:val="left"/>
                                    </w:pPr>
                                    <w:r>
                                      <w:rPr>
                                        <w:rFonts w:ascii="Arial" w:eastAsia="Arial" w:hAnsi="Arial" w:cs="Arial"/>
                                        <w:sz w:val="14"/>
                                      </w:rPr>
                                      <w:t>44</w:t>
                                    </w:r>
                                  </w:p>
                                </w:txbxContent>
                              </wps:txbx>
                              <wps:bodyPr horzOverflow="overflow" vert="horz" lIns="0" tIns="0" rIns="0" bIns="0" rtlCol="0">
                                <a:noAutofit/>
                              </wps:bodyPr>
                            </wps:wsp>
                            <wps:wsp>
                              <wps:cNvPr id="2028" name="Rectangle 2028"/>
                              <wps:cNvSpPr/>
                              <wps:spPr>
                                <a:xfrm>
                                  <a:off x="1550331" y="358549"/>
                                  <a:ext cx="32870" cy="109250"/>
                                </a:xfrm>
                                <a:prstGeom prst="rect">
                                  <a:avLst/>
                                </a:prstGeom>
                                <a:ln>
                                  <a:noFill/>
                                </a:ln>
                              </wps:spPr>
                              <wps:txbx>
                                <w:txbxContent>
                                  <w:p w14:paraId="4DA22F94" w14:textId="77777777" w:rsidR="006F0DDB" w:rsidRDefault="00000000">
                                    <w:pPr>
                                      <w:spacing w:after="160" w:line="259" w:lineRule="auto"/>
                                      <w:ind w:left="0" w:right="0" w:firstLine="0"/>
                                      <w:jc w:val="left"/>
                                    </w:pPr>
                                    <w:r>
                                      <w:rPr>
                                        <w:rFonts w:ascii="Arial" w:eastAsia="Arial" w:hAnsi="Arial" w:cs="Arial"/>
                                        <w:sz w:val="14"/>
                                      </w:rPr>
                                      <w:t xml:space="preserve"> </w:t>
                                    </w:r>
                                  </w:p>
                                </w:txbxContent>
                              </wps:txbx>
                              <wps:bodyPr horzOverflow="overflow" vert="horz" lIns="0" tIns="0" rIns="0" bIns="0" rtlCol="0">
                                <a:noAutofit/>
                              </wps:bodyPr>
                            </wps:wsp>
                            <wps:wsp>
                              <wps:cNvPr id="2029" name="Rectangle 2029"/>
                              <wps:cNvSpPr/>
                              <wps:spPr>
                                <a:xfrm>
                                  <a:off x="1453450" y="472849"/>
                                  <a:ext cx="130167" cy="109250"/>
                                </a:xfrm>
                                <a:prstGeom prst="rect">
                                  <a:avLst/>
                                </a:prstGeom>
                                <a:ln>
                                  <a:noFill/>
                                </a:ln>
                              </wps:spPr>
                              <wps:txbx>
                                <w:txbxContent>
                                  <w:p w14:paraId="6BC956CB" w14:textId="77777777" w:rsidR="006F0DDB" w:rsidRDefault="00000000">
                                    <w:pPr>
                                      <w:spacing w:after="160" w:line="259" w:lineRule="auto"/>
                                      <w:ind w:left="0" w:right="0" w:firstLine="0"/>
                                      <w:jc w:val="left"/>
                                    </w:pPr>
                                    <w:r>
                                      <w:rPr>
                                        <w:rFonts w:ascii="Arial" w:eastAsia="Arial" w:hAnsi="Arial" w:cs="Arial"/>
                                        <w:sz w:val="14"/>
                                      </w:rPr>
                                      <w:t>42</w:t>
                                    </w:r>
                                  </w:p>
                                </w:txbxContent>
                              </wps:txbx>
                              <wps:bodyPr horzOverflow="overflow" vert="horz" lIns="0" tIns="0" rIns="0" bIns="0" rtlCol="0">
                                <a:noAutofit/>
                              </wps:bodyPr>
                            </wps:wsp>
                            <wps:wsp>
                              <wps:cNvPr id="2030" name="Rectangle 2030"/>
                              <wps:cNvSpPr/>
                              <wps:spPr>
                                <a:xfrm>
                                  <a:off x="1453450" y="776656"/>
                                  <a:ext cx="130167" cy="109250"/>
                                </a:xfrm>
                                <a:prstGeom prst="rect">
                                  <a:avLst/>
                                </a:prstGeom>
                                <a:ln>
                                  <a:noFill/>
                                </a:ln>
                              </wps:spPr>
                              <wps:txbx>
                                <w:txbxContent>
                                  <w:p w14:paraId="5724725F" w14:textId="77777777" w:rsidR="006F0DDB" w:rsidRDefault="00000000">
                                    <w:pPr>
                                      <w:spacing w:after="160" w:line="259" w:lineRule="auto"/>
                                      <w:ind w:left="0" w:right="0" w:firstLine="0"/>
                                      <w:jc w:val="left"/>
                                    </w:pPr>
                                    <w:r>
                                      <w:rPr>
                                        <w:rFonts w:ascii="Arial" w:eastAsia="Arial" w:hAnsi="Arial" w:cs="Arial"/>
                                        <w:sz w:val="14"/>
                                      </w:rPr>
                                      <w:t>36</w:t>
                                    </w:r>
                                  </w:p>
                                </w:txbxContent>
                              </wps:txbx>
                              <wps:bodyPr horzOverflow="overflow" vert="horz" lIns="0" tIns="0" rIns="0" bIns="0" rtlCol="0">
                                <a:noAutofit/>
                              </wps:bodyPr>
                            </wps:wsp>
                            <wps:wsp>
                              <wps:cNvPr id="2031" name="Shape 2031"/>
                              <wps:cNvSpPr/>
                              <wps:spPr>
                                <a:xfrm>
                                  <a:off x="1425359" y="847098"/>
                                  <a:ext cx="31153" cy="31140"/>
                                </a:xfrm>
                                <a:custGeom>
                                  <a:avLst/>
                                  <a:gdLst/>
                                  <a:ahLst/>
                                  <a:cxnLst/>
                                  <a:rect l="0" t="0" r="0" b="0"/>
                                  <a:pathLst>
                                    <a:path w="31153" h="31140">
                                      <a:moveTo>
                                        <a:pt x="15577" y="0"/>
                                      </a:moveTo>
                                      <a:cubicBezTo>
                                        <a:pt x="24174" y="0"/>
                                        <a:pt x="31153" y="6975"/>
                                        <a:pt x="31153" y="15570"/>
                                      </a:cubicBezTo>
                                      <a:cubicBezTo>
                                        <a:pt x="31153" y="24166"/>
                                        <a:pt x="24174" y="31140"/>
                                        <a:pt x="15577" y="31140"/>
                                      </a:cubicBezTo>
                                      <a:cubicBezTo>
                                        <a:pt x="6979" y="31140"/>
                                        <a:pt x="0" y="24166"/>
                                        <a:pt x="0" y="15570"/>
                                      </a:cubicBezTo>
                                      <a:cubicBezTo>
                                        <a:pt x="0" y="6975"/>
                                        <a:pt x="6979" y="0"/>
                                        <a:pt x="1557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34" name="Shape 2034"/>
                              <wps:cNvSpPr/>
                              <wps:spPr>
                                <a:xfrm>
                                  <a:off x="1422375" y="843923"/>
                                  <a:ext cx="37503" cy="37490"/>
                                </a:xfrm>
                                <a:custGeom>
                                  <a:avLst/>
                                  <a:gdLst/>
                                  <a:ahLst/>
                                  <a:cxnLst/>
                                  <a:rect l="0" t="0" r="0" b="0"/>
                                  <a:pathLst>
                                    <a:path w="37503" h="37490">
                                      <a:moveTo>
                                        <a:pt x="37503" y="18745"/>
                                      </a:moveTo>
                                      <a:cubicBezTo>
                                        <a:pt x="37503" y="29093"/>
                                        <a:pt x="29102" y="37490"/>
                                        <a:pt x="18752" y="37490"/>
                                      </a:cubicBezTo>
                                      <a:cubicBezTo>
                                        <a:pt x="8401" y="37490"/>
                                        <a:pt x="0" y="29093"/>
                                        <a:pt x="0" y="18745"/>
                                      </a:cubicBezTo>
                                      <a:cubicBezTo>
                                        <a:pt x="0" y="8397"/>
                                        <a:pt x="8401" y="0"/>
                                        <a:pt x="18752" y="0"/>
                                      </a:cubicBezTo>
                                      <a:cubicBezTo>
                                        <a:pt x="29102" y="0"/>
                                        <a:pt x="37503" y="8397"/>
                                        <a:pt x="37503" y="18745"/>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036" name="Shape 2036"/>
                              <wps:cNvSpPr/>
                              <wps:spPr>
                                <a:xfrm>
                                  <a:off x="1425359" y="443803"/>
                                  <a:ext cx="31153" cy="31153"/>
                                </a:xfrm>
                                <a:custGeom>
                                  <a:avLst/>
                                  <a:gdLst/>
                                  <a:ahLst/>
                                  <a:cxnLst/>
                                  <a:rect l="0" t="0" r="0" b="0"/>
                                  <a:pathLst>
                                    <a:path w="31153" h="31153">
                                      <a:moveTo>
                                        <a:pt x="15577" y="0"/>
                                      </a:moveTo>
                                      <a:cubicBezTo>
                                        <a:pt x="24174" y="0"/>
                                        <a:pt x="31153" y="6979"/>
                                        <a:pt x="31153" y="15577"/>
                                      </a:cubicBezTo>
                                      <a:cubicBezTo>
                                        <a:pt x="31153" y="24176"/>
                                        <a:pt x="24174" y="31153"/>
                                        <a:pt x="15577" y="31153"/>
                                      </a:cubicBezTo>
                                      <a:cubicBezTo>
                                        <a:pt x="6979" y="31153"/>
                                        <a:pt x="0" y="24176"/>
                                        <a:pt x="0" y="15577"/>
                                      </a:cubicBezTo>
                                      <a:cubicBezTo>
                                        <a:pt x="0" y="6979"/>
                                        <a:pt x="6979" y="0"/>
                                        <a:pt x="1557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39" name="Shape 2039"/>
                              <wps:cNvSpPr/>
                              <wps:spPr>
                                <a:xfrm>
                                  <a:off x="1422375" y="440628"/>
                                  <a:ext cx="37503" cy="37503"/>
                                </a:xfrm>
                                <a:custGeom>
                                  <a:avLst/>
                                  <a:gdLst/>
                                  <a:ahLst/>
                                  <a:cxnLst/>
                                  <a:rect l="0" t="0" r="0" b="0"/>
                                  <a:pathLst>
                                    <a:path w="37503" h="37503">
                                      <a:moveTo>
                                        <a:pt x="37503" y="18752"/>
                                      </a:moveTo>
                                      <a:cubicBezTo>
                                        <a:pt x="37503" y="29103"/>
                                        <a:pt x="29102" y="37503"/>
                                        <a:pt x="18752" y="37503"/>
                                      </a:cubicBezTo>
                                      <a:cubicBezTo>
                                        <a:pt x="8401" y="37503"/>
                                        <a:pt x="0" y="29103"/>
                                        <a:pt x="0" y="18752"/>
                                      </a:cubicBezTo>
                                      <a:cubicBezTo>
                                        <a:pt x="0" y="8401"/>
                                        <a:pt x="8401" y="0"/>
                                        <a:pt x="18752" y="0"/>
                                      </a:cubicBezTo>
                                      <a:cubicBezTo>
                                        <a:pt x="29102" y="0"/>
                                        <a:pt x="37503" y="8401"/>
                                        <a:pt x="37503" y="18752"/>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041" name="Rectangle 2041"/>
                              <wps:cNvSpPr/>
                              <wps:spPr>
                                <a:xfrm>
                                  <a:off x="2887616" y="1036416"/>
                                  <a:ext cx="194594" cy="109250"/>
                                </a:xfrm>
                                <a:prstGeom prst="rect">
                                  <a:avLst/>
                                </a:prstGeom>
                                <a:ln>
                                  <a:noFill/>
                                </a:ln>
                              </wps:spPr>
                              <wps:txbx>
                                <w:txbxContent>
                                  <w:p w14:paraId="5C97DBDF" w14:textId="77777777" w:rsidR="006F0DDB" w:rsidRDefault="00000000">
                                    <w:pPr>
                                      <w:spacing w:after="160" w:line="259" w:lineRule="auto"/>
                                      <w:ind w:left="0" w:right="0" w:firstLine="0"/>
                                      <w:jc w:val="left"/>
                                    </w:pPr>
                                    <w:r>
                                      <w:rPr>
                                        <w:rFonts w:ascii="Arial" w:eastAsia="Arial" w:hAnsi="Arial" w:cs="Arial"/>
                                        <w:sz w:val="14"/>
                                      </w:rPr>
                                      <w:t>110</w:t>
                                    </w:r>
                                  </w:p>
                                </w:txbxContent>
                              </wps:txbx>
                              <wps:bodyPr horzOverflow="overflow" vert="horz" lIns="0" tIns="0" rIns="0" bIns="0" rtlCol="0">
                                <a:noAutofit/>
                              </wps:bodyPr>
                            </wps:wsp>
                            <wps:wsp>
                              <wps:cNvPr id="2042" name="Rectangle 2042"/>
                              <wps:cNvSpPr/>
                              <wps:spPr>
                                <a:xfrm>
                                  <a:off x="2887616" y="1311489"/>
                                  <a:ext cx="194594" cy="109250"/>
                                </a:xfrm>
                                <a:prstGeom prst="rect">
                                  <a:avLst/>
                                </a:prstGeom>
                                <a:ln>
                                  <a:noFill/>
                                </a:ln>
                              </wps:spPr>
                              <wps:txbx>
                                <w:txbxContent>
                                  <w:p w14:paraId="1198DA5B" w14:textId="77777777" w:rsidR="006F0DDB" w:rsidRDefault="00000000">
                                    <w:pPr>
                                      <w:spacing w:after="160" w:line="259" w:lineRule="auto"/>
                                      <w:ind w:left="0" w:right="0" w:firstLine="0"/>
                                      <w:jc w:val="left"/>
                                    </w:pPr>
                                    <w:r>
                                      <w:rPr>
                                        <w:rFonts w:ascii="Arial" w:eastAsia="Arial" w:hAnsi="Arial" w:cs="Arial"/>
                                        <w:sz w:val="14"/>
                                      </w:rPr>
                                      <w:t>180</w:t>
                                    </w:r>
                                  </w:p>
                                </w:txbxContent>
                              </wps:txbx>
                              <wps:bodyPr horzOverflow="overflow" vert="horz" lIns="0" tIns="0" rIns="0" bIns="0" rtlCol="0">
                                <a:noAutofit/>
                              </wps:bodyPr>
                            </wps:wsp>
                            <wps:wsp>
                              <wps:cNvPr id="2043" name="Rectangle 2043"/>
                              <wps:cNvSpPr/>
                              <wps:spPr>
                                <a:xfrm>
                                  <a:off x="2887616" y="1442191"/>
                                  <a:ext cx="194594" cy="109250"/>
                                </a:xfrm>
                                <a:prstGeom prst="rect">
                                  <a:avLst/>
                                </a:prstGeom>
                                <a:ln>
                                  <a:noFill/>
                                </a:ln>
                              </wps:spPr>
                              <wps:txbx>
                                <w:txbxContent>
                                  <w:p w14:paraId="2F543FF3" w14:textId="77777777" w:rsidR="006F0DDB" w:rsidRDefault="00000000">
                                    <w:pPr>
                                      <w:spacing w:after="160" w:line="259" w:lineRule="auto"/>
                                      <w:ind w:left="0" w:right="0" w:firstLine="0"/>
                                      <w:jc w:val="left"/>
                                    </w:pPr>
                                    <w:r>
                                      <w:rPr>
                                        <w:rFonts w:ascii="Arial" w:eastAsia="Arial" w:hAnsi="Arial" w:cs="Arial"/>
                                        <w:sz w:val="14"/>
                                      </w:rPr>
                                      <w:t>172</w:t>
                                    </w:r>
                                  </w:p>
                                </w:txbxContent>
                              </wps:txbx>
                              <wps:bodyPr horzOverflow="overflow" vert="horz" lIns="0" tIns="0" rIns="0" bIns="0" rtlCol="0">
                                <a:noAutofit/>
                              </wps:bodyPr>
                            </wps:wsp>
                            <wps:wsp>
                              <wps:cNvPr id="2044" name="Rectangle 2044"/>
                              <wps:cNvSpPr/>
                              <wps:spPr>
                                <a:xfrm>
                                  <a:off x="2809498" y="1579215"/>
                                  <a:ext cx="194594" cy="109250"/>
                                </a:xfrm>
                                <a:prstGeom prst="rect">
                                  <a:avLst/>
                                </a:prstGeom>
                                <a:ln>
                                  <a:noFill/>
                                </a:ln>
                              </wps:spPr>
                              <wps:txbx>
                                <w:txbxContent>
                                  <w:p w14:paraId="23EC12CB" w14:textId="77777777" w:rsidR="006F0DDB" w:rsidRDefault="00000000">
                                    <w:pPr>
                                      <w:spacing w:after="160" w:line="259" w:lineRule="auto"/>
                                      <w:ind w:left="0" w:right="0" w:firstLine="0"/>
                                      <w:jc w:val="left"/>
                                    </w:pPr>
                                    <w:r>
                                      <w:rPr>
                                        <w:rFonts w:ascii="Arial" w:eastAsia="Arial" w:hAnsi="Arial" w:cs="Arial"/>
                                        <w:sz w:val="14"/>
                                      </w:rPr>
                                      <w:t>168</w:t>
                                    </w:r>
                                  </w:p>
                                </w:txbxContent>
                              </wps:txbx>
                              <wps:bodyPr horzOverflow="overflow" vert="horz" lIns="0" tIns="0" rIns="0" bIns="0" rtlCol="0">
                                <a:noAutofit/>
                              </wps:bodyPr>
                            </wps:wsp>
                            <wps:wsp>
                              <wps:cNvPr id="2045" name="Rectangle 2045"/>
                              <wps:cNvSpPr/>
                              <wps:spPr>
                                <a:xfrm>
                                  <a:off x="2963276" y="1614230"/>
                                  <a:ext cx="194594" cy="109250"/>
                                </a:xfrm>
                                <a:prstGeom prst="rect">
                                  <a:avLst/>
                                </a:prstGeom>
                                <a:ln>
                                  <a:noFill/>
                                </a:ln>
                              </wps:spPr>
                              <wps:txbx>
                                <w:txbxContent>
                                  <w:p w14:paraId="50EBA89B" w14:textId="77777777" w:rsidR="006F0DDB" w:rsidRDefault="00000000">
                                    <w:pPr>
                                      <w:spacing w:after="160" w:line="259" w:lineRule="auto"/>
                                      <w:ind w:left="0" w:right="0" w:firstLine="0"/>
                                      <w:jc w:val="left"/>
                                    </w:pPr>
                                    <w:r>
                                      <w:rPr>
                                        <w:rFonts w:ascii="Arial" w:eastAsia="Arial" w:hAnsi="Arial" w:cs="Arial"/>
                                        <w:sz w:val="14"/>
                                      </w:rPr>
                                      <w:t>186</w:t>
                                    </w:r>
                                  </w:p>
                                </w:txbxContent>
                              </wps:txbx>
                              <wps:bodyPr horzOverflow="overflow" vert="horz" lIns="0" tIns="0" rIns="0" bIns="0" rtlCol="0">
                                <a:noAutofit/>
                              </wps:bodyPr>
                            </wps:wsp>
                            <wps:wsp>
                              <wps:cNvPr id="2046" name="Rectangle 2046"/>
                              <wps:cNvSpPr/>
                              <wps:spPr>
                                <a:xfrm>
                                  <a:off x="2722559" y="1454958"/>
                                  <a:ext cx="194594" cy="109250"/>
                                </a:xfrm>
                                <a:prstGeom prst="rect">
                                  <a:avLst/>
                                </a:prstGeom>
                                <a:ln>
                                  <a:noFill/>
                                </a:ln>
                              </wps:spPr>
                              <wps:txbx>
                                <w:txbxContent>
                                  <w:p w14:paraId="2D3A9ABB" w14:textId="77777777" w:rsidR="006F0DDB" w:rsidRDefault="00000000">
                                    <w:pPr>
                                      <w:spacing w:after="160" w:line="259" w:lineRule="auto"/>
                                      <w:ind w:left="0" w:right="0" w:firstLine="0"/>
                                      <w:jc w:val="left"/>
                                    </w:pPr>
                                    <w:r>
                                      <w:rPr>
                                        <w:rFonts w:ascii="Arial" w:eastAsia="Arial" w:hAnsi="Arial" w:cs="Arial"/>
                                        <w:sz w:val="14"/>
                                      </w:rPr>
                                      <w:t>163</w:t>
                                    </w:r>
                                  </w:p>
                                </w:txbxContent>
                              </wps:txbx>
                              <wps:bodyPr horzOverflow="overflow" vert="horz" lIns="0" tIns="0" rIns="0" bIns="0" rtlCol="0">
                                <a:noAutofit/>
                              </wps:bodyPr>
                            </wps:wsp>
                            <wps:wsp>
                              <wps:cNvPr id="2047" name="Shape 2047"/>
                              <wps:cNvSpPr/>
                              <wps:spPr>
                                <a:xfrm>
                                  <a:off x="2872004" y="1658621"/>
                                  <a:ext cx="31153" cy="31153"/>
                                </a:xfrm>
                                <a:custGeom>
                                  <a:avLst/>
                                  <a:gdLst/>
                                  <a:ahLst/>
                                  <a:cxnLst/>
                                  <a:rect l="0" t="0" r="0" b="0"/>
                                  <a:pathLst>
                                    <a:path w="31153" h="31153">
                                      <a:moveTo>
                                        <a:pt x="15577" y="0"/>
                                      </a:moveTo>
                                      <a:cubicBezTo>
                                        <a:pt x="24174" y="0"/>
                                        <a:pt x="31153" y="6977"/>
                                        <a:pt x="31153" y="15577"/>
                                      </a:cubicBezTo>
                                      <a:cubicBezTo>
                                        <a:pt x="31153" y="24174"/>
                                        <a:pt x="24174" y="31153"/>
                                        <a:pt x="15577" y="31153"/>
                                      </a:cubicBezTo>
                                      <a:cubicBezTo>
                                        <a:pt x="6979" y="31153"/>
                                        <a:pt x="0" y="24174"/>
                                        <a:pt x="0" y="15577"/>
                                      </a:cubicBezTo>
                                      <a:cubicBezTo>
                                        <a:pt x="0" y="6977"/>
                                        <a:pt x="6979" y="0"/>
                                        <a:pt x="1557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50" name="Shape 2050"/>
                              <wps:cNvSpPr/>
                              <wps:spPr>
                                <a:xfrm>
                                  <a:off x="2868841" y="1655446"/>
                                  <a:ext cx="37503" cy="37503"/>
                                </a:xfrm>
                                <a:custGeom>
                                  <a:avLst/>
                                  <a:gdLst/>
                                  <a:ahLst/>
                                  <a:cxnLst/>
                                  <a:rect l="0" t="0" r="0" b="0"/>
                                  <a:pathLst>
                                    <a:path w="37503" h="37503">
                                      <a:moveTo>
                                        <a:pt x="37503" y="18752"/>
                                      </a:moveTo>
                                      <a:cubicBezTo>
                                        <a:pt x="37503" y="29102"/>
                                        <a:pt x="29102" y="37503"/>
                                        <a:pt x="18752" y="37503"/>
                                      </a:cubicBezTo>
                                      <a:cubicBezTo>
                                        <a:pt x="8400" y="37503"/>
                                        <a:pt x="0" y="29102"/>
                                        <a:pt x="0" y="18752"/>
                                      </a:cubicBezTo>
                                      <a:cubicBezTo>
                                        <a:pt x="0" y="8401"/>
                                        <a:pt x="8400" y="0"/>
                                        <a:pt x="18752" y="0"/>
                                      </a:cubicBezTo>
                                      <a:cubicBezTo>
                                        <a:pt x="29102" y="0"/>
                                        <a:pt x="37503" y="8401"/>
                                        <a:pt x="37503" y="18752"/>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052" name="Shape 2052"/>
                              <wps:cNvSpPr/>
                              <wps:spPr>
                                <a:xfrm>
                                  <a:off x="2872004" y="1527748"/>
                                  <a:ext cx="31153" cy="31152"/>
                                </a:xfrm>
                                <a:custGeom>
                                  <a:avLst/>
                                  <a:gdLst/>
                                  <a:ahLst/>
                                  <a:cxnLst/>
                                  <a:rect l="0" t="0" r="0" b="0"/>
                                  <a:pathLst>
                                    <a:path w="31153" h="31152">
                                      <a:moveTo>
                                        <a:pt x="15577" y="0"/>
                                      </a:moveTo>
                                      <a:cubicBezTo>
                                        <a:pt x="24174" y="0"/>
                                        <a:pt x="31153" y="6977"/>
                                        <a:pt x="31153" y="15577"/>
                                      </a:cubicBezTo>
                                      <a:cubicBezTo>
                                        <a:pt x="31153" y="24174"/>
                                        <a:pt x="24174" y="31152"/>
                                        <a:pt x="15577" y="31152"/>
                                      </a:cubicBezTo>
                                      <a:cubicBezTo>
                                        <a:pt x="6979" y="31152"/>
                                        <a:pt x="0" y="24174"/>
                                        <a:pt x="0" y="15577"/>
                                      </a:cubicBezTo>
                                      <a:cubicBezTo>
                                        <a:pt x="0" y="6977"/>
                                        <a:pt x="6979" y="0"/>
                                        <a:pt x="1557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55" name="Shape 2055"/>
                              <wps:cNvSpPr/>
                              <wps:spPr>
                                <a:xfrm>
                                  <a:off x="2868841" y="1524572"/>
                                  <a:ext cx="37503" cy="37504"/>
                                </a:xfrm>
                                <a:custGeom>
                                  <a:avLst/>
                                  <a:gdLst/>
                                  <a:ahLst/>
                                  <a:cxnLst/>
                                  <a:rect l="0" t="0" r="0" b="0"/>
                                  <a:pathLst>
                                    <a:path w="37503" h="37504">
                                      <a:moveTo>
                                        <a:pt x="37503" y="18753"/>
                                      </a:moveTo>
                                      <a:cubicBezTo>
                                        <a:pt x="37503" y="29103"/>
                                        <a:pt x="29102" y="37504"/>
                                        <a:pt x="18752" y="37504"/>
                                      </a:cubicBezTo>
                                      <a:cubicBezTo>
                                        <a:pt x="8400" y="37504"/>
                                        <a:pt x="0" y="29103"/>
                                        <a:pt x="0" y="18753"/>
                                      </a:cubicBezTo>
                                      <a:cubicBezTo>
                                        <a:pt x="0" y="8401"/>
                                        <a:pt x="8400" y="0"/>
                                        <a:pt x="18752" y="0"/>
                                      </a:cubicBezTo>
                                      <a:cubicBezTo>
                                        <a:pt x="29102" y="0"/>
                                        <a:pt x="37503" y="8401"/>
                                        <a:pt x="37503" y="18753"/>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057" name="Rectangle 2057"/>
                              <wps:cNvSpPr/>
                              <wps:spPr>
                                <a:xfrm>
                                  <a:off x="2859778" y="1069105"/>
                                  <a:ext cx="78847" cy="325416"/>
                                </a:xfrm>
                                <a:prstGeom prst="rect">
                                  <a:avLst/>
                                </a:prstGeom>
                                <a:ln>
                                  <a:noFill/>
                                </a:ln>
                              </wps:spPr>
                              <wps:txbx>
                                <w:txbxContent>
                                  <w:p w14:paraId="33011693" w14:textId="77777777" w:rsidR="006F0DDB" w:rsidRDefault="00000000">
                                    <w:pPr>
                                      <w:spacing w:after="160" w:line="259" w:lineRule="auto"/>
                                      <w:ind w:left="0" w:right="0" w:firstLine="0"/>
                                      <w:jc w:val="left"/>
                                    </w:pPr>
                                    <w:r>
                                      <w:rPr>
                                        <w:rFonts w:ascii="Arial" w:eastAsia="Arial" w:hAnsi="Arial" w:cs="Arial"/>
                                        <w:sz w:val="24"/>
                                      </w:rPr>
                                      <w:t>*</w:t>
                                    </w:r>
                                  </w:p>
                                </w:txbxContent>
                              </wps:txbx>
                              <wps:bodyPr horzOverflow="overflow" vert="horz" lIns="0" tIns="0" rIns="0" bIns="0" rtlCol="0">
                                <a:noAutofit/>
                              </wps:bodyPr>
                            </wps:wsp>
                            <wps:wsp>
                              <wps:cNvPr id="2058" name="Rectangle 2058"/>
                              <wps:cNvSpPr/>
                              <wps:spPr>
                                <a:xfrm>
                                  <a:off x="2859778" y="1334849"/>
                                  <a:ext cx="78847" cy="325416"/>
                                </a:xfrm>
                                <a:prstGeom prst="rect">
                                  <a:avLst/>
                                </a:prstGeom>
                                <a:ln>
                                  <a:noFill/>
                                </a:ln>
                              </wps:spPr>
                              <wps:txbx>
                                <w:txbxContent>
                                  <w:p w14:paraId="64717F86" w14:textId="77777777" w:rsidR="006F0DDB" w:rsidRDefault="00000000">
                                    <w:pPr>
                                      <w:spacing w:after="160" w:line="259" w:lineRule="auto"/>
                                      <w:ind w:left="0" w:right="0" w:firstLine="0"/>
                                      <w:jc w:val="left"/>
                                    </w:pPr>
                                    <w:r>
                                      <w:rPr>
                                        <w:rFonts w:ascii="Arial" w:eastAsia="Arial" w:hAnsi="Arial" w:cs="Arial"/>
                                        <w:sz w:val="24"/>
                                      </w:rPr>
                                      <w:t>*</w:t>
                                    </w:r>
                                  </w:p>
                                </w:txbxContent>
                              </wps:txbx>
                              <wps:bodyPr horzOverflow="overflow" vert="horz" lIns="0" tIns="0" rIns="0" bIns="0" rtlCol="0">
                                <a:noAutofit/>
                              </wps:bodyPr>
                            </wps:wsp>
                          </wpg:wgp>
                        </a:graphicData>
                      </a:graphic>
                    </wp:inline>
                  </w:drawing>
                </mc:Choice>
                <mc:Fallback xmlns:a="http://schemas.openxmlformats.org/drawingml/2006/main">
                  <w:pict>
                    <v:group id="Group 30208" style="width:311.363pt;height:201.24pt;mso-position-horizontal-relative:char;mso-position-vertical-relative:line" coordsize="39543,25557">
                      <v:rect id="Rectangle 1982" style="position:absolute;width:38703;height:1537;left:5222;top:0;" filled="f" stroked="f">
                        <v:textbox inset="0,0,0,0">
                          <w:txbxContent>
                            <w:p>
                              <w:pPr>
                                <w:spacing w:before="0" w:after="160" w:line="259" w:lineRule="auto"/>
                                <w:ind w:left="0" w:right="0" w:firstLine="0"/>
                                <w:jc w:val="left"/>
                              </w:pPr>
                              <w:r>
                                <w:rPr>
                                  <w:rFonts w:cs="Arial" w:hAnsi="Arial" w:eastAsia="Arial" w:ascii="Arial"/>
                                </w:rPr>
                                <w:t xml:space="preserve">Infections (UTIs) in the Last 12 Months by Country</w:t>
                              </w:r>
                            </w:p>
                          </w:txbxContent>
                        </v:textbox>
                      </v:rect>
                      <v:shape id="Shape 1984" style="position:absolute;width:39543;height:23160;left:0;top:2397;" coordsize="3954310,2316010" path="m0,2316010l3954310,2316010l3954310,0l0,0x">
                        <v:stroke weight="0.637pt" endcap="flat" joinstyle="miter" miterlimit="10" on="true" color="#563c80"/>
                        <v:fill on="false" color="#000000" opacity="0"/>
                      </v:shape>
                      <v:shape id="Shape 1985" style="position:absolute;width:32480;height:18147;left:5513;top:3585;" coordsize="3248025,1814754" path="m3248025,1814754l0,1814754l0,0">
                        <v:stroke weight="0.5pt" endcap="flat" joinstyle="miter" miterlimit="10" on="true" color="#181717"/>
                        <v:fill on="false" color="#000000" opacity="0"/>
                      </v:shape>
                      <v:shape id="Shape 1986" style="position:absolute;width:32879;height:0;left:5114;top:4624;" coordsize="3287992,0" path="m0,0l3287992,0">
                        <v:stroke weight="0.5pt" endcap="flat" joinstyle="miter" miterlimit="10" on="true" color="#181717"/>
                        <v:fill on="false" color="#000000" opacity="0"/>
                      </v:shape>
                      <v:shape id="Shape 1987" style="position:absolute;width:32879;height:0;left:5114;top:7326;" coordsize="3287992,0" path="m0,0l3287992,0">
                        <v:stroke weight="0.5pt" endcap="flat" joinstyle="miter" miterlimit="10" on="true" color="#181717"/>
                        <v:fill on="false" color="#000000" opacity="0"/>
                      </v:shape>
                      <v:shape id="Shape 1988" style="position:absolute;width:32879;height:0;left:5114;top:10011;" coordsize="3287992,0" path="m0,0l3287992,0">
                        <v:stroke weight="0.5pt" endcap="flat" joinstyle="miter" miterlimit="10" on="true" color="#181717"/>
                        <v:fill on="false" color="#000000" opacity="0"/>
                      </v:shape>
                      <v:shape id="Shape 1989" style="position:absolute;width:32879;height:0;left:5114;top:12713;" coordsize="3287992,0" path="m0,0l3287992,0">
                        <v:stroke weight="0.5pt" endcap="flat" joinstyle="miter" miterlimit="10" on="true" color="#181717"/>
                        <v:fill on="false" color="#000000" opacity="0"/>
                      </v:shape>
                      <v:shape id="Shape 1990" style="position:absolute;width:32879;height:0;left:5114;top:15398;" coordsize="3287992,0" path="m0,0l3287992,0">
                        <v:stroke weight="0.5pt" endcap="flat" joinstyle="miter" miterlimit="10" on="true" color="#181717"/>
                        <v:fill on="false" color="#000000" opacity="0"/>
                      </v:shape>
                      <v:shape id="Shape 1991" style="position:absolute;width:32879;height:0;left:5114;top:18084;" coordsize="3287992,0" path="m0,0l3287992,0">
                        <v:stroke weight="0.5pt" endcap="flat" joinstyle="miter" miterlimit="10" on="true" color="#181717"/>
                        <v:fill on="false" color="#000000" opacity="0"/>
                      </v:shape>
                      <v:shape id="Shape 1992" style="position:absolute;width:32879;height:0;left:5114;top:20770;" coordsize="3287992,0" path="m0,0l3287992,0">
                        <v:stroke weight="0.5pt" endcap="flat" joinstyle="miter" miterlimit="10" on="true" color="#181717"/>
                        <v:fill on="false" color="#000000" opacity="0"/>
                      </v:shape>
                      <v:rect id="Rectangle 1993" style="position:absolute;width:20868;height:1383;left:-8426;top:9438;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Number of UTIs in 12 Months</w:t>
                              </w:r>
                            </w:p>
                          </w:txbxContent>
                        </v:textbox>
                      </v:rect>
                      <v:rect id="Rectangle 1994" style="position:absolute;width:2907;height:1404;left:2633;top:4154;" filled="f" stroked="f">
                        <v:textbox inset="0,0,0,0">
                          <w:txbxContent>
                            <w:p>
                              <w:pPr>
                                <w:spacing w:before="0" w:after="160" w:line="259" w:lineRule="auto"/>
                                <w:ind w:left="0" w:right="0" w:firstLine="0"/>
                                <w:jc w:val="left"/>
                              </w:pPr>
                              <w:r>
                                <w:rPr>
                                  <w:rFonts w:cs="Arial" w:hAnsi="Arial" w:eastAsia="Arial" w:ascii="Arial"/>
                                  <w:sz w:val="18"/>
                                </w:rPr>
                                <w:t xml:space="preserve">12.0</w:t>
                              </w:r>
                            </w:p>
                          </w:txbxContent>
                        </v:textbox>
                      </v:rect>
                      <v:rect id="Rectangle 1995" style="position:absolute;width:422;height:1404;left:4806;top:4154;"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1996" style="position:absolute;width:2907;height:1404;left:2633;top:6859;" filled="f" stroked="f">
                        <v:textbox inset="0,0,0,0">
                          <w:txbxContent>
                            <w:p>
                              <w:pPr>
                                <w:spacing w:before="0" w:after="160" w:line="259" w:lineRule="auto"/>
                                <w:ind w:left="0" w:right="0" w:firstLine="0"/>
                                <w:jc w:val="left"/>
                              </w:pPr>
                              <w:r>
                                <w:rPr>
                                  <w:rFonts w:cs="Arial" w:hAnsi="Arial" w:eastAsia="Arial" w:ascii="Arial"/>
                                  <w:sz w:val="18"/>
                                </w:rPr>
                                <w:t xml:space="preserve">10.0</w:t>
                              </w:r>
                            </w:p>
                          </w:txbxContent>
                        </v:textbox>
                      </v:rect>
                      <v:rect id="Rectangle 1997" style="position:absolute;width:422;height:1404;left:4806;top:6859;"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1998" style="position:absolute;width:2079;height:1404;left:3256;top:9565;" filled="f" stroked="f">
                        <v:textbox inset="0,0,0,0">
                          <w:txbxContent>
                            <w:p>
                              <w:pPr>
                                <w:spacing w:before="0" w:after="160" w:line="259" w:lineRule="auto"/>
                                <w:ind w:left="0" w:right="0" w:firstLine="0"/>
                                <w:jc w:val="left"/>
                              </w:pPr>
                              <w:r>
                                <w:rPr>
                                  <w:rFonts w:cs="Arial" w:hAnsi="Arial" w:eastAsia="Arial" w:ascii="Arial"/>
                                  <w:sz w:val="18"/>
                                </w:rPr>
                                <w:t xml:space="preserve">8.0</w:t>
                              </w:r>
                            </w:p>
                          </w:txbxContent>
                        </v:textbox>
                      </v:rect>
                      <v:rect id="Rectangle 1999" style="position:absolute;width:422;height:1404;left:4806;top:9565;"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2000" style="position:absolute;width:2079;height:1404;left:3256;top:12270;" filled="f" stroked="f">
                        <v:textbox inset="0,0,0,0">
                          <w:txbxContent>
                            <w:p>
                              <w:pPr>
                                <w:spacing w:before="0" w:after="160" w:line="259" w:lineRule="auto"/>
                                <w:ind w:left="0" w:right="0" w:firstLine="0"/>
                                <w:jc w:val="left"/>
                              </w:pPr>
                              <w:r>
                                <w:rPr>
                                  <w:rFonts w:cs="Arial" w:hAnsi="Arial" w:eastAsia="Arial" w:ascii="Arial"/>
                                  <w:sz w:val="18"/>
                                </w:rPr>
                                <w:t xml:space="preserve">6.0</w:t>
                              </w:r>
                            </w:p>
                          </w:txbxContent>
                        </v:textbox>
                      </v:rect>
                      <v:rect id="Rectangle 2001" style="position:absolute;width:422;height:1404;left:4806;top:12270;"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2002" style="position:absolute;width:2079;height:1404;left:3256;top:14975;" filled="f" stroked="f">
                        <v:textbox inset="0,0,0,0">
                          <w:txbxContent>
                            <w:p>
                              <w:pPr>
                                <w:spacing w:before="0" w:after="160" w:line="259" w:lineRule="auto"/>
                                <w:ind w:left="0" w:right="0" w:firstLine="0"/>
                                <w:jc w:val="left"/>
                              </w:pPr>
                              <w:r>
                                <w:rPr>
                                  <w:rFonts w:cs="Arial" w:hAnsi="Arial" w:eastAsia="Arial" w:ascii="Arial"/>
                                  <w:sz w:val="18"/>
                                </w:rPr>
                                <w:t xml:space="preserve">4.0</w:t>
                              </w:r>
                            </w:p>
                          </w:txbxContent>
                        </v:textbox>
                      </v:rect>
                      <v:rect id="Rectangle 2003" style="position:absolute;width:422;height:1404;left:4806;top:14975;"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2004" style="position:absolute;width:2079;height:1404;left:3256;top:17680;" filled="f" stroked="f">
                        <v:textbox inset="0,0,0,0">
                          <w:txbxContent>
                            <w:p>
                              <w:pPr>
                                <w:spacing w:before="0" w:after="160" w:line="259" w:lineRule="auto"/>
                                <w:ind w:left="0" w:right="0" w:firstLine="0"/>
                                <w:jc w:val="left"/>
                              </w:pPr>
                              <w:r>
                                <w:rPr>
                                  <w:rFonts w:cs="Arial" w:hAnsi="Arial" w:eastAsia="Arial" w:ascii="Arial"/>
                                  <w:sz w:val="18"/>
                                </w:rPr>
                                <w:t xml:space="preserve">2.0</w:t>
                              </w:r>
                            </w:p>
                          </w:txbxContent>
                        </v:textbox>
                      </v:rect>
                      <v:rect id="Rectangle 2005" style="position:absolute;width:422;height:1404;left:4806;top:17680;"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2006" style="position:absolute;width:2079;height:1404;left:3256;top:20385;" filled="f" stroked="f">
                        <v:textbox inset="0,0,0,0">
                          <w:txbxContent>
                            <w:p>
                              <w:pPr>
                                <w:spacing w:before="0" w:after="160" w:line="259" w:lineRule="auto"/>
                                <w:ind w:left="0" w:right="0" w:firstLine="0"/>
                                <w:jc w:val="left"/>
                              </w:pPr>
                              <w:r>
                                <w:rPr>
                                  <w:rFonts w:cs="Arial" w:hAnsi="Arial" w:eastAsia="Arial" w:ascii="Arial"/>
                                  <w:sz w:val="18"/>
                                </w:rPr>
                                <w:t xml:space="preserve">0.0</w:t>
                              </w:r>
                            </w:p>
                          </w:txbxContent>
                        </v:textbox>
                      </v:rect>
                      <v:rect id="Rectangle 2007" style="position:absolute;width:9074;height:1404;left:10192;top:22399;" filled="f" stroked="f">
                        <v:textbox inset="0,0,0,0">
                          <w:txbxContent>
                            <w:p>
                              <w:pPr>
                                <w:spacing w:before="0" w:after="160" w:line="259" w:lineRule="auto"/>
                                <w:ind w:left="0" w:right="0" w:firstLine="0"/>
                                <w:jc w:val="left"/>
                              </w:pPr>
                              <w:r>
                                <w:rPr>
                                  <w:rFonts w:cs="Arial" w:hAnsi="Arial" w:eastAsia="Arial" w:ascii="Arial"/>
                                  <w:sz w:val="18"/>
                                </w:rPr>
                                <w:t xml:space="preserve">United States</w:t>
                              </w:r>
                            </w:p>
                          </w:txbxContent>
                        </v:textbox>
                      </v:rect>
                      <v:rect id="Rectangle 2008" style="position:absolute;width:10862;height:1404;left:25784;top:22399;" filled="f" stroked="f">
                        <v:textbox inset="0,0,0,0">
                          <w:txbxContent>
                            <w:p>
                              <w:pPr>
                                <w:spacing w:before="0" w:after="160" w:line="259" w:lineRule="auto"/>
                                <w:ind w:left="0" w:right="0" w:firstLine="0"/>
                                <w:jc w:val="left"/>
                              </w:pPr>
                              <w:r>
                                <w:rPr>
                                  <w:rFonts w:cs="Arial" w:hAnsi="Arial" w:eastAsia="Arial" w:ascii="Arial"/>
                                  <w:sz w:val="18"/>
                                </w:rPr>
                                <w:t xml:space="preserve">United Kingdom</w:t>
                              </w:r>
                            </w:p>
                          </w:txbxContent>
                        </v:textbox>
                      </v:rect>
                      <v:rect id="Rectangle 2009" style="position:absolute;width:5672;height:1383;left:19605;top:23836;" filled="f" stroked="f">
                        <v:textbox inset="0,0,0,0">
                          <w:txbxContent>
                            <w:p>
                              <w:pPr>
                                <w:spacing w:before="0" w:after="160" w:line="259" w:lineRule="auto"/>
                                <w:ind w:left="0" w:right="0" w:firstLine="0"/>
                                <w:jc w:val="left"/>
                              </w:pPr>
                              <w:r>
                                <w:rPr>
                                  <w:rFonts w:cs="Arial" w:hAnsi="Arial" w:eastAsia="Arial" w:ascii="Arial"/>
                                  <w:sz w:val="18"/>
                                </w:rPr>
                                <w:t xml:space="preserve">Country</w:t>
                              </w:r>
                            </w:p>
                          </w:txbxContent>
                        </v:textbox>
                      </v:rect>
                      <v:shape id="Shape 2010" style="position:absolute;width:1920;height:0;left:13386;top:20784;" coordsize="192062,0" path="m0,0l192062,0">
                        <v:stroke weight="1pt" endcap="flat" joinstyle="miter" miterlimit="10" on="true" color="#8982b3"/>
                        <v:fill on="false" color="#000000" opacity="0"/>
                      </v:shape>
                      <v:shape id="Shape 2011" style="position:absolute;width:1920;height:0;left:13386;top:10033;" coordsize="192062,0" path="m0,0l192062,0">
                        <v:stroke weight="1pt" endcap="flat" joinstyle="miter" miterlimit="10" on="true" color="#8982b3"/>
                        <v:fill on="false" color="#000000" opacity="0"/>
                      </v:shape>
                      <v:shape id="Shape 2012" style="position:absolute;width:0;height:10762;left:14353;top:10031;" coordsize="0,1076249" path="m0,0l0,1076249">
                        <v:stroke weight="1pt" endcap="flat" joinstyle="miter" miterlimit="10" on="true" color="#8982b3"/>
                        <v:fill on="false" color="#000000" opacity="0"/>
                      </v:shape>
                      <v:shape id="Shape 39447" style="position:absolute;width:3863;height:2755;left:12436;top:15306;" coordsize="386321,275577" path="m0,0l386321,0l386321,275577l0,275577l0,0">
                        <v:stroke weight="0pt" endcap="flat" joinstyle="miter" miterlimit="10" on="false" color="#000000" opacity="0"/>
                        <v:fill on="true" color="#8982b3"/>
                      </v:shape>
                      <v:shape id="Shape 39448" style="position:absolute;width:3863;height:1442;left:12436;top:18062;" coordsize="386321,144259" path="m0,0l386321,0l386321,144259l0,144259l0,0">
                        <v:stroke weight="0pt" endcap="flat" joinstyle="miter" miterlimit="10" on="false" color="#000000" opacity="0"/>
                        <v:fill on="true" color="#8982b3"/>
                      </v:shape>
                      <v:shape id="Shape 2017" style="position:absolute;width:3863;height:4198;left:12436;top:15306;" coordsize="386321,419836" path="m0,419836l386321,419836l386321,0l0,0x">
                        <v:stroke weight="2pt" endcap="flat" joinstyle="miter" miterlimit="10" on="true" color="#181717"/>
                        <v:fill on="false" color="#000000" opacity="0"/>
                      </v:shape>
                      <v:shape id="Shape 2019" style="position:absolute;width:3609;height:0;left:12563;top:18062;" coordsize="360921,0" path="m0,0l360921,0">
                        <v:stroke weight="1pt" endcap="flat" joinstyle="miter" miterlimit="10" on="true" color="#181717"/>
                        <v:fill on="false" color="#000000" opacity="0"/>
                      </v:shape>
                      <v:shape id="Shape 2020" style="position:absolute;width:1920;height:0;left:27915;top:18100;" coordsize="192062,0" path="m0,0l192062,0">
                        <v:stroke weight="1pt" endcap="flat" joinstyle="miter" miterlimit="10" on="true" color="#8982b3"/>
                        <v:fill on="false" color="#000000" opacity="0"/>
                      </v:shape>
                      <v:shape id="Shape 2021" style="position:absolute;width:0;height:2492;left:28882;top:18100;" coordsize="0,249212" path="m0,0l0,249212">
                        <v:stroke weight="1pt" endcap="flat" joinstyle="miter" miterlimit="10" on="true" color="#8982b3"/>
                        <v:fill on="false" color="#000000" opacity="0"/>
                      </v:shape>
                      <v:shape id="Shape 39449" style="position:absolute;width:3863;height:1490;left:27009;top:19304;" coordsize="386321,149060" path="m0,0l386321,0l386321,149060l0,149060l0,0">
                        <v:stroke weight="0pt" endcap="flat" joinstyle="miter" miterlimit="10" on="false" color="#000000" opacity="0"/>
                        <v:fill on="true" color="#8982b3"/>
                      </v:shape>
                      <v:shape id="Shape 2025" style="position:absolute;width:3863;height:1490;left:27009;top:19304;" coordsize="386321,149060" path="m0,149060l386321,149060l386321,0l0,0x">
                        <v:stroke weight="2pt" endcap="flat" joinstyle="miter" miterlimit="10" on="true" color="#181717"/>
                        <v:fill on="false" color="#000000" opacity="0"/>
                      </v:shape>
                      <v:rect id="Rectangle 2027" style="position:absolute;width:1301;height:1092;left:14534;top:3585;" filled="f" stroked="f">
                        <v:textbox inset="0,0,0,0">
                          <w:txbxContent>
                            <w:p>
                              <w:pPr>
                                <w:spacing w:before="0" w:after="160" w:line="259" w:lineRule="auto"/>
                                <w:ind w:left="0" w:right="0" w:firstLine="0"/>
                                <w:jc w:val="left"/>
                              </w:pPr>
                              <w:r>
                                <w:rPr>
                                  <w:rFonts w:cs="Arial" w:hAnsi="Arial" w:eastAsia="Arial" w:ascii="Arial"/>
                                  <w:sz w:val="14"/>
                                </w:rPr>
                                <w:t xml:space="preserve">44</w:t>
                              </w:r>
                            </w:p>
                          </w:txbxContent>
                        </v:textbox>
                      </v:rect>
                      <v:rect id="Rectangle 2028" style="position:absolute;width:328;height:1092;left:15503;top:3585;" filled="f" stroked="f">
                        <v:textbox inset="0,0,0,0">
                          <w:txbxContent>
                            <w:p>
                              <w:pPr>
                                <w:spacing w:before="0" w:after="160" w:line="259" w:lineRule="auto"/>
                                <w:ind w:left="0" w:right="0" w:firstLine="0"/>
                                <w:jc w:val="left"/>
                              </w:pPr>
                              <w:r>
                                <w:rPr>
                                  <w:rFonts w:cs="Arial" w:hAnsi="Arial" w:eastAsia="Arial" w:ascii="Arial"/>
                                  <w:sz w:val="14"/>
                                </w:rPr>
                                <w:t xml:space="preserve"> </w:t>
                              </w:r>
                            </w:p>
                          </w:txbxContent>
                        </v:textbox>
                      </v:rect>
                      <v:rect id="Rectangle 2029" style="position:absolute;width:1301;height:1092;left:14534;top:4728;" filled="f" stroked="f">
                        <v:textbox inset="0,0,0,0">
                          <w:txbxContent>
                            <w:p>
                              <w:pPr>
                                <w:spacing w:before="0" w:after="160" w:line="259" w:lineRule="auto"/>
                                <w:ind w:left="0" w:right="0" w:firstLine="0"/>
                                <w:jc w:val="left"/>
                              </w:pPr>
                              <w:r>
                                <w:rPr>
                                  <w:rFonts w:cs="Arial" w:hAnsi="Arial" w:eastAsia="Arial" w:ascii="Arial"/>
                                  <w:sz w:val="14"/>
                                </w:rPr>
                                <w:t xml:space="preserve">42</w:t>
                              </w:r>
                            </w:p>
                          </w:txbxContent>
                        </v:textbox>
                      </v:rect>
                      <v:rect id="Rectangle 2030" style="position:absolute;width:1301;height:1092;left:14534;top:7766;" filled="f" stroked="f">
                        <v:textbox inset="0,0,0,0">
                          <w:txbxContent>
                            <w:p>
                              <w:pPr>
                                <w:spacing w:before="0" w:after="160" w:line="259" w:lineRule="auto"/>
                                <w:ind w:left="0" w:right="0" w:firstLine="0"/>
                                <w:jc w:val="left"/>
                              </w:pPr>
                              <w:r>
                                <w:rPr>
                                  <w:rFonts w:cs="Arial" w:hAnsi="Arial" w:eastAsia="Arial" w:ascii="Arial"/>
                                  <w:sz w:val="14"/>
                                </w:rPr>
                                <w:t xml:space="preserve">36</w:t>
                              </w:r>
                            </w:p>
                          </w:txbxContent>
                        </v:textbox>
                      </v:rect>
                      <v:shape id="Shape 2031" style="position:absolute;width:311;height:311;left:14253;top:8470;" coordsize="31153,31140" path="m15577,0c24174,0,31153,6975,31153,15570c31153,24166,24174,31140,15577,31140c6979,31140,0,24166,0,15570c0,6975,6979,0,15577,0x">
                        <v:stroke weight="0pt" endcap="flat" joinstyle="miter" miterlimit="10" on="false" color="#000000" opacity="0"/>
                        <v:fill on="true" color="#fffefd"/>
                      </v:shape>
                      <v:shape id="Shape 2034" style="position:absolute;width:375;height:374;left:14223;top:8439;" coordsize="37503,37490" path="m37503,18745c37503,29093,29102,37490,18752,37490c8401,37490,0,29093,0,18745c0,8397,8401,0,18752,0c29102,0,37503,8397,37503,18745x">
                        <v:stroke weight="1pt" endcap="flat" joinstyle="miter" miterlimit="10" on="true" color="#181717"/>
                        <v:fill on="false" color="#000000" opacity="0"/>
                      </v:shape>
                      <v:shape id="Shape 2036" style="position:absolute;width:311;height:311;left:14253;top:4438;" coordsize="31153,31153" path="m15577,0c24174,0,31153,6979,31153,15577c31153,24176,24174,31153,15577,31153c6979,31153,0,24176,0,15577c0,6979,6979,0,15577,0x">
                        <v:stroke weight="0pt" endcap="flat" joinstyle="miter" miterlimit="10" on="false" color="#000000" opacity="0"/>
                        <v:fill on="true" color="#fffefd"/>
                      </v:shape>
                      <v:shape id="Shape 2039" style="position:absolute;width:375;height:375;left:14223;top:4406;" coordsize="37503,37503" path="m37503,18752c37503,29103,29102,37503,18752,37503c8401,37503,0,29103,0,18752c0,8401,8401,0,18752,0c29102,0,37503,8401,37503,18752x">
                        <v:stroke weight="1pt" endcap="flat" joinstyle="miter" miterlimit="10" on="true" color="#181717"/>
                        <v:fill on="false" color="#000000" opacity="0"/>
                      </v:shape>
                      <v:rect id="Rectangle 2041" style="position:absolute;width:1945;height:1092;left:28876;top:10364;" filled="f" stroked="f">
                        <v:textbox inset="0,0,0,0">
                          <w:txbxContent>
                            <w:p>
                              <w:pPr>
                                <w:spacing w:before="0" w:after="160" w:line="259" w:lineRule="auto"/>
                                <w:ind w:left="0" w:right="0" w:firstLine="0"/>
                                <w:jc w:val="left"/>
                              </w:pPr>
                              <w:r>
                                <w:rPr>
                                  <w:rFonts w:cs="Arial" w:hAnsi="Arial" w:eastAsia="Arial" w:ascii="Arial"/>
                                  <w:sz w:val="14"/>
                                </w:rPr>
                                <w:t xml:space="preserve">110</w:t>
                              </w:r>
                            </w:p>
                          </w:txbxContent>
                        </v:textbox>
                      </v:rect>
                      <v:rect id="Rectangle 2042" style="position:absolute;width:1945;height:1092;left:28876;top:13114;" filled="f" stroked="f">
                        <v:textbox inset="0,0,0,0">
                          <w:txbxContent>
                            <w:p>
                              <w:pPr>
                                <w:spacing w:before="0" w:after="160" w:line="259" w:lineRule="auto"/>
                                <w:ind w:left="0" w:right="0" w:firstLine="0"/>
                                <w:jc w:val="left"/>
                              </w:pPr>
                              <w:r>
                                <w:rPr>
                                  <w:rFonts w:cs="Arial" w:hAnsi="Arial" w:eastAsia="Arial" w:ascii="Arial"/>
                                  <w:sz w:val="14"/>
                                </w:rPr>
                                <w:t xml:space="preserve">180</w:t>
                              </w:r>
                            </w:p>
                          </w:txbxContent>
                        </v:textbox>
                      </v:rect>
                      <v:rect id="Rectangle 2043" style="position:absolute;width:1945;height:1092;left:28876;top:14421;" filled="f" stroked="f">
                        <v:textbox inset="0,0,0,0">
                          <w:txbxContent>
                            <w:p>
                              <w:pPr>
                                <w:spacing w:before="0" w:after="160" w:line="259" w:lineRule="auto"/>
                                <w:ind w:left="0" w:right="0" w:firstLine="0"/>
                                <w:jc w:val="left"/>
                              </w:pPr>
                              <w:r>
                                <w:rPr>
                                  <w:rFonts w:cs="Arial" w:hAnsi="Arial" w:eastAsia="Arial" w:ascii="Arial"/>
                                  <w:sz w:val="14"/>
                                </w:rPr>
                                <w:t xml:space="preserve">172</w:t>
                              </w:r>
                            </w:p>
                          </w:txbxContent>
                        </v:textbox>
                      </v:rect>
                      <v:rect id="Rectangle 2044" style="position:absolute;width:1945;height:1092;left:28094;top:15792;" filled="f" stroked="f">
                        <v:textbox inset="0,0,0,0">
                          <w:txbxContent>
                            <w:p>
                              <w:pPr>
                                <w:spacing w:before="0" w:after="160" w:line="259" w:lineRule="auto"/>
                                <w:ind w:left="0" w:right="0" w:firstLine="0"/>
                                <w:jc w:val="left"/>
                              </w:pPr>
                              <w:r>
                                <w:rPr>
                                  <w:rFonts w:cs="Arial" w:hAnsi="Arial" w:eastAsia="Arial" w:ascii="Arial"/>
                                  <w:sz w:val="14"/>
                                </w:rPr>
                                <w:t xml:space="preserve">168</w:t>
                              </w:r>
                            </w:p>
                          </w:txbxContent>
                        </v:textbox>
                      </v:rect>
                      <v:rect id="Rectangle 2045" style="position:absolute;width:1945;height:1092;left:29632;top:16142;" filled="f" stroked="f">
                        <v:textbox inset="0,0,0,0">
                          <w:txbxContent>
                            <w:p>
                              <w:pPr>
                                <w:spacing w:before="0" w:after="160" w:line="259" w:lineRule="auto"/>
                                <w:ind w:left="0" w:right="0" w:firstLine="0"/>
                                <w:jc w:val="left"/>
                              </w:pPr>
                              <w:r>
                                <w:rPr>
                                  <w:rFonts w:cs="Arial" w:hAnsi="Arial" w:eastAsia="Arial" w:ascii="Arial"/>
                                  <w:sz w:val="14"/>
                                </w:rPr>
                                <w:t xml:space="preserve">186</w:t>
                              </w:r>
                            </w:p>
                          </w:txbxContent>
                        </v:textbox>
                      </v:rect>
                      <v:rect id="Rectangle 2046" style="position:absolute;width:1945;height:1092;left:27225;top:14549;" filled="f" stroked="f">
                        <v:textbox inset="0,0,0,0">
                          <w:txbxContent>
                            <w:p>
                              <w:pPr>
                                <w:spacing w:before="0" w:after="160" w:line="259" w:lineRule="auto"/>
                                <w:ind w:left="0" w:right="0" w:firstLine="0"/>
                                <w:jc w:val="left"/>
                              </w:pPr>
                              <w:r>
                                <w:rPr>
                                  <w:rFonts w:cs="Arial" w:hAnsi="Arial" w:eastAsia="Arial" w:ascii="Arial"/>
                                  <w:sz w:val="14"/>
                                </w:rPr>
                                <w:t xml:space="preserve">163</w:t>
                              </w:r>
                            </w:p>
                          </w:txbxContent>
                        </v:textbox>
                      </v:rect>
                      <v:shape id="Shape 2047" style="position:absolute;width:311;height:311;left:28720;top:16586;" coordsize="31153,31153" path="m15577,0c24174,0,31153,6977,31153,15577c31153,24174,24174,31153,15577,31153c6979,31153,0,24174,0,15577c0,6977,6979,0,15577,0x">
                        <v:stroke weight="0pt" endcap="flat" joinstyle="miter" miterlimit="10" on="false" color="#000000" opacity="0"/>
                        <v:fill on="true" color="#fffefd"/>
                      </v:shape>
                      <v:shape id="Shape 2050" style="position:absolute;width:375;height:375;left:28688;top:16554;" coordsize="37503,37503" path="m37503,18752c37503,29102,29102,37503,18752,37503c8400,37503,0,29102,0,18752c0,8401,8400,0,18752,0c29102,0,37503,8401,37503,18752x">
                        <v:stroke weight="1pt" endcap="flat" joinstyle="miter" miterlimit="10" on="true" color="#181717"/>
                        <v:fill on="false" color="#000000" opacity="0"/>
                      </v:shape>
                      <v:shape id="Shape 2052" style="position:absolute;width:311;height:311;left:28720;top:15277;" coordsize="31153,31152" path="m15577,0c24174,0,31153,6977,31153,15577c31153,24174,24174,31152,15577,31152c6979,31152,0,24174,0,15577c0,6977,6979,0,15577,0x">
                        <v:stroke weight="0pt" endcap="flat" joinstyle="miter" miterlimit="10" on="false" color="#000000" opacity="0"/>
                        <v:fill on="true" color="#fffefd"/>
                      </v:shape>
                      <v:shape id="Shape 2055" style="position:absolute;width:375;height:375;left:28688;top:15245;" coordsize="37503,37504" path="m37503,18753c37503,29103,29102,37504,18752,37504c8400,37504,0,29103,0,18753c0,8401,8400,0,18752,0c29102,0,37503,8401,37503,18753x">
                        <v:stroke weight="1pt" endcap="flat" joinstyle="miter" miterlimit="10" on="true" color="#181717"/>
                        <v:fill on="false" color="#000000" opacity="0"/>
                      </v:shape>
                      <v:rect id="Rectangle 2057" style="position:absolute;width:788;height:3254;left:28597;top:10691;" filled="f" stroked="f">
                        <v:textbox inset="0,0,0,0">
                          <w:txbxContent>
                            <w:p>
                              <w:pPr>
                                <w:spacing w:before="0" w:after="160" w:line="259" w:lineRule="auto"/>
                                <w:ind w:left="0" w:right="0" w:firstLine="0"/>
                                <w:jc w:val="left"/>
                              </w:pPr>
                              <w:r>
                                <w:rPr>
                                  <w:rFonts w:cs="Arial" w:hAnsi="Arial" w:eastAsia="Arial" w:ascii="Arial"/>
                                  <w:sz w:val="24"/>
                                </w:rPr>
                                <w:t xml:space="preserve">*</w:t>
                              </w:r>
                            </w:p>
                          </w:txbxContent>
                        </v:textbox>
                      </v:rect>
                      <v:rect id="Rectangle 2058" style="position:absolute;width:788;height:3254;left:28597;top:13348;" filled="f" stroked="f">
                        <v:textbox inset="0,0,0,0">
                          <w:txbxContent>
                            <w:p>
                              <w:pPr>
                                <w:spacing w:before="0" w:after="160" w:line="259" w:lineRule="auto"/>
                                <w:ind w:left="0" w:right="0" w:firstLine="0"/>
                                <w:jc w:val="left"/>
                              </w:pPr>
                              <w:r>
                                <w:rPr>
                                  <w:rFonts w:cs="Arial" w:hAnsi="Arial" w:eastAsia="Arial" w:ascii="Arial"/>
                                  <w:sz w:val="24"/>
                                </w:rPr>
                                <w:t xml:space="preserve">*</w:t>
                              </w:r>
                            </w:p>
                          </w:txbxContent>
                        </v:textbox>
                      </v:rect>
                    </v:group>
                  </w:pict>
                </mc:Fallback>
              </mc:AlternateContent>
            </w:r>
          </w:p>
          <w:p w14:paraId="476A9AF1" w14:textId="77777777" w:rsidR="006F0DDB" w:rsidRDefault="00000000">
            <w:pPr>
              <w:spacing w:after="0" w:line="259" w:lineRule="auto"/>
              <w:ind w:left="0" w:right="1740" w:firstLine="0"/>
              <w:jc w:val="center"/>
            </w:pPr>
            <w:r>
              <w:rPr>
                <w:rFonts w:ascii="Arial" w:eastAsia="Arial" w:hAnsi="Arial" w:cs="Arial"/>
              </w:rPr>
              <w:t xml:space="preserve">Figure 2.  </w:t>
            </w:r>
          </w:p>
          <w:p w14:paraId="5FC6EE09" w14:textId="77777777" w:rsidR="006F0DDB" w:rsidRDefault="00000000">
            <w:pPr>
              <w:spacing w:after="0" w:line="230" w:lineRule="auto"/>
              <w:ind w:left="1558" w:right="2037" w:hanging="981"/>
              <w:jc w:val="left"/>
            </w:pPr>
            <w:r>
              <w:rPr>
                <w:rFonts w:ascii="Arial" w:eastAsia="Arial" w:hAnsi="Arial" w:cs="Arial"/>
              </w:rPr>
              <w:t xml:space="preserve">Box and Whisker Plot of Number of Catheter </w:t>
            </w:r>
            <w:proofErr w:type="gramStart"/>
            <w:r>
              <w:rPr>
                <w:rFonts w:ascii="Arial" w:eastAsia="Arial" w:hAnsi="Arial" w:cs="Arial"/>
              </w:rPr>
              <w:t>Changes  in</w:t>
            </w:r>
            <w:proofErr w:type="gramEnd"/>
            <w:r>
              <w:rPr>
                <w:rFonts w:ascii="Arial" w:eastAsia="Arial" w:hAnsi="Arial" w:cs="Arial"/>
              </w:rPr>
              <w:t xml:space="preserve"> the Last 12 months by Country </w:t>
            </w:r>
          </w:p>
          <w:p w14:paraId="6DA6AAFB" w14:textId="77777777" w:rsidR="006F0DDB" w:rsidRDefault="00000000">
            <w:pPr>
              <w:spacing w:after="0"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3B5EAB35" wp14:editId="39DAD8C9">
                      <wp:extent cx="3954310" cy="2316010"/>
                      <wp:effectExtent l="0" t="0" r="0" b="0"/>
                      <wp:docPr id="30211" name="Group 30211"/>
                      <wp:cNvGraphicFramePr/>
                      <a:graphic xmlns:a="http://schemas.openxmlformats.org/drawingml/2006/main">
                        <a:graphicData uri="http://schemas.microsoft.com/office/word/2010/wordprocessingGroup">
                          <wpg:wgp>
                            <wpg:cNvGrpSpPr/>
                            <wpg:grpSpPr>
                              <a:xfrm>
                                <a:off x="0" y="0"/>
                                <a:ext cx="3954310" cy="2316010"/>
                                <a:chOff x="0" y="0"/>
                                <a:chExt cx="3954310" cy="2316010"/>
                              </a:xfrm>
                            </wpg:grpSpPr>
                            <wps:wsp>
                              <wps:cNvPr id="2065" name="Shape 2065"/>
                              <wps:cNvSpPr/>
                              <wps:spPr>
                                <a:xfrm>
                                  <a:off x="0" y="0"/>
                                  <a:ext cx="3954310" cy="2316010"/>
                                </a:xfrm>
                                <a:custGeom>
                                  <a:avLst/>
                                  <a:gdLst/>
                                  <a:ahLst/>
                                  <a:cxnLst/>
                                  <a:rect l="0" t="0" r="0" b="0"/>
                                  <a:pathLst>
                                    <a:path w="3954310" h="2316010">
                                      <a:moveTo>
                                        <a:pt x="0" y="2316010"/>
                                      </a:moveTo>
                                      <a:lnTo>
                                        <a:pt x="3954310" y="2316010"/>
                                      </a:lnTo>
                                      <a:lnTo>
                                        <a:pt x="3954310" y="0"/>
                                      </a:lnTo>
                                      <a:lnTo>
                                        <a:pt x="0" y="0"/>
                                      </a:lnTo>
                                      <a:close/>
                                    </a:path>
                                  </a:pathLst>
                                </a:custGeom>
                                <a:ln w="8090" cap="flat">
                                  <a:miter lim="127000"/>
                                </a:ln>
                              </wps:spPr>
                              <wps:style>
                                <a:lnRef idx="1">
                                  <a:srgbClr val="563C80"/>
                                </a:lnRef>
                                <a:fillRef idx="0">
                                  <a:srgbClr val="000000">
                                    <a:alpha val="0"/>
                                  </a:srgbClr>
                                </a:fillRef>
                                <a:effectRef idx="0">
                                  <a:scrgbClr r="0" g="0" b="0"/>
                                </a:effectRef>
                                <a:fontRef idx="none"/>
                              </wps:style>
                              <wps:bodyPr/>
                            </wps:wsp>
                            <wps:wsp>
                              <wps:cNvPr id="2066" name="Shape 2066"/>
                              <wps:cNvSpPr/>
                              <wps:spPr>
                                <a:xfrm>
                                  <a:off x="576771" y="118809"/>
                                  <a:ext cx="3248025" cy="1840840"/>
                                </a:xfrm>
                                <a:custGeom>
                                  <a:avLst/>
                                  <a:gdLst/>
                                  <a:ahLst/>
                                  <a:cxnLst/>
                                  <a:rect l="0" t="0" r="0" b="0"/>
                                  <a:pathLst>
                                    <a:path w="3248025" h="1840840">
                                      <a:moveTo>
                                        <a:pt x="3248025" y="1840840"/>
                                      </a:moveTo>
                                      <a:lnTo>
                                        <a:pt x="0" y="1840840"/>
                                      </a:lnTo>
                                      <a:lnTo>
                                        <a:pt x="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2067" name="Shape 2067"/>
                              <wps:cNvSpPr/>
                              <wps:spPr>
                                <a:xfrm>
                                  <a:off x="535534" y="151816"/>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2068" name="Shape 2068"/>
                              <wps:cNvSpPr/>
                              <wps:spPr>
                                <a:xfrm>
                                  <a:off x="536804" y="492874"/>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2069" name="Shape 2069"/>
                              <wps:cNvSpPr/>
                              <wps:spPr>
                                <a:xfrm>
                                  <a:off x="536804" y="841311"/>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2070" name="Shape 2070"/>
                              <wps:cNvSpPr/>
                              <wps:spPr>
                                <a:xfrm>
                                  <a:off x="536804" y="1180821"/>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2071" name="Shape 2071"/>
                              <wps:cNvSpPr/>
                              <wps:spPr>
                                <a:xfrm>
                                  <a:off x="536804" y="1520330"/>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2072" name="Shape 2072"/>
                              <wps:cNvSpPr/>
                              <wps:spPr>
                                <a:xfrm>
                                  <a:off x="536804" y="1864970"/>
                                  <a:ext cx="3287992" cy="0"/>
                                </a:xfrm>
                                <a:custGeom>
                                  <a:avLst/>
                                  <a:gdLst/>
                                  <a:ahLst/>
                                  <a:cxnLst/>
                                  <a:rect l="0" t="0" r="0" b="0"/>
                                  <a:pathLst>
                                    <a:path w="3287992">
                                      <a:moveTo>
                                        <a:pt x="0" y="0"/>
                                      </a:moveTo>
                                      <a:lnTo>
                                        <a:pt x="3287992"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s:wsp>
                              <wps:cNvPr id="2073" name="Rectangle 2073"/>
                              <wps:cNvSpPr/>
                              <wps:spPr>
                                <a:xfrm rot="-5399999">
                                  <a:off x="-1075311" y="661951"/>
                                  <a:ext cx="2501290" cy="138337"/>
                                </a:xfrm>
                                <a:prstGeom prst="rect">
                                  <a:avLst/>
                                </a:prstGeom>
                                <a:ln>
                                  <a:noFill/>
                                </a:ln>
                              </wps:spPr>
                              <wps:txbx>
                                <w:txbxContent>
                                  <w:p w14:paraId="4724B51F" w14:textId="77777777" w:rsidR="006F0DDB" w:rsidRDefault="00000000">
                                    <w:pPr>
                                      <w:spacing w:after="160" w:line="259" w:lineRule="auto"/>
                                      <w:ind w:left="0" w:right="0" w:firstLine="0"/>
                                      <w:jc w:val="left"/>
                                    </w:pPr>
                                    <w:r>
                                      <w:rPr>
                                        <w:rFonts w:ascii="Arial" w:eastAsia="Arial" w:hAnsi="Arial" w:cs="Arial"/>
                                        <w:sz w:val="18"/>
                                      </w:rPr>
                                      <w:t>No Catheter Changes in 12 Months</w:t>
                                    </w:r>
                                  </w:p>
                                </w:txbxContent>
                              </wps:txbx>
                              <wps:bodyPr horzOverflow="overflow" vert="horz" lIns="0" tIns="0" rIns="0" bIns="0" rtlCol="0">
                                <a:noAutofit/>
                              </wps:bodyPr>
                            </wps:wsp>
                            <wps:wsp>
                              <wps:cNvPr id="2074" name="Rectangle 2074"/>
                              <wps:cNvSpPr/>
                              <wps:spPr>
                                <a:xfrm>
                                  <a:off x="1044696" y="2000231"/>
                                  <a:ext cx="907493" cy="140465"/>
                                </a:xfrm>
                                <a:prstGeom prst="rect">
                                  <a:avLst/>
                                </a:prstGeom>
                                <a:ln>
                                  <a:noFill/>
                                </a:ln>
                              </wps:spPr>
                              <wps:txbx>
                                <w:txbxContent>
                                  <w:p w14:paraId="0757928A" w14:textId="77777777" w:rsidR="006F0DDB" w:rsidRDefault="00000000">
                                    <w:pPr>
                                      <w:spacing w:after="160" w:line="259" w:lineRule="auto"/>
                                      <w:ind w:left="0" w:right="0" w:firstLine="0"/>
                                      <w:jc w:val="left"/>
                                    </w:pPr>
                                    <w:r>
                                      <w:rPr>
                                        <w:rFonts w:ascii="Arial" w:eastAsia="Arial" w:hAnsi="Arial" w:cs="Arial"/>
                                        <w:sz w:val="18"/>
                                      </w:rPr>
                                      <w:t>United States</w:t>
                                    </w:r>
                                  </w:p>
                                </w:txbxContent>
                              </wps:txbx>
                              <wps:bodyPr horzOverflow="overflow" vert="horz" lIns="0" tIns="0" rIns="0" bIns="0" rtlCol="0">
                                <a:noAutofit/>
                              </wps:bodyPr>
                            </wps:wsp>
                            <wps:wsp>
                              <wps:cNvPr id="2075" name="Rectangle 2075"/>
                              <wps:cNvSpPr/>
                              <wps:spPr>
                                <a:xfrm>
                                  <a:off x="2603891" y="2000231"/>
                                  <a:ext cx="1086252" cy="140465"/>
                                </a:xfrm>
                                <a:prstGeom prst="rect">
                                  <a:avLst/>
                                </a:prstGeom>
                                <a:ln>
                                  <a:noFill/>
                                </a:ln>
                              </wps:spPr>
                              <wps:txbx>
                                <w:txbxContent>
                                  <w:p w14:paraId="41D7611F" w14:textId="77777777" w:rsidR="006F0DDB" w:rsidRDefault="00000000">
                                    <w:pPr>
                                      <w:spacing w:after="160" w:line="259" w:lineRule="auto"/>
                                      <w:ind w:left="0" w:right="0" w:firstLine="0"/>
                                      <w:jc w:val="left"/>
                                    </w:pPr>
                                    <w:r>
                                      <w:rPr>
                                        <w:rFonts w:ascii="Arial" w:eastAsia="Arial" w:hAnsi="Arial" w:cs="Arial"/>
                                        <w:sz w:val="18"/>
                                      </w:rPr>
                                      <w:t>United Kingdom</w:t>
                                    </w:r>
                                  </w:p>
                                </w:txbxContent>
                              </wps:txbx>
                              <wps:bodyPr horzOverflow="overflow" vert="horz" lIns="0" tIns="0" rIns="0" bIns="0" rtlCol="0">
                                <a:noAutofit/>
                              </wps:bodyPr>
                            </wps:wsp>
                            <wps:wsp>
                              <wps:cNvPr id="2076" name="Rectangle 2076"/>
                              <wps:cNvSpPr/>
                              <wps:spPr>
                                <a:xfrm>
                                  <a:off x="1985952" y="2143936"/>
                                  <a:ext cx="567244" cy="138337"/>
                                </a:xfrm>
                                <a:prstGeom prst="rect">
                                  <a:avLst/>
                                </a:prstGeom>
                                <a:ln>
                                  <a:noFill/>
                                </a:ln>
                              </wps:spPr>
                              <wps:txbx>
                                <w:txbxContent>
                                  <w:p w14:paraId="1D87FCE9" w14:textId="77777777" w:rsidR="006F0DDB" w:rsidRDefault="00000000">
                                    <w:pPr>
                                      <w:spacing w:after="160" w:line="259" w:lineRule="auto"/>
                                      <w:ind w:left="0" w:right="0" w:firstLine="0"/>
                                      <w:jc w:val="left"/>
                                    </w:pPr>
                                    <w:r>
                                      <w:rPr>
                                        <w:rFonts w:ascii="Arial" w:eastAsia="Arial" w:hAnsi="Arial" w:cs="Arial"/>
                                        <w:sz w:val="18"/>
                                      </w:rPr>
                                      <w:t>Country</w:t>
                                    </w:r>
                                  </w:p>
                                </w:txbxContent>
                              </wps:txbx>
                              <wps:bodyPr horzOverflow="overflow" vert="horz" lIns="0" tIns="0" rIns="0" bIns="0" rtlCol="0">
                                <a:noAutofit/>
                              </wps:bodyPr>
                            </wps:wsp>
                            <wps:wsp>
                              <wps:cNvPr id="2077" name="Shape 2077"/>
                              <wps:cNvSpPr/>
                              <wps:spPr>
                                <a:xfrm>
                                  <a:off x="2856522" y="1580630"/>
                                  <a:ext cx="192062" cy="0"/>
                                </a:xfrm>
                                <a:custGeom>
                                  <a:avLst/>
                                  <a:gdLst/>
                                  <a:ahLst/>
                                  <a:cxnLst/>
                                  <a:rect l="0" t="0" r="0" b="0"/>
                                  <a:pathLst>
                                    <a:path w="192062">
                                      <a:moveTo>
                                        <a:pt x="0" y="0"/>
                                      </a:moveTo>
                                      <a:lnTo>
                                        <a:pt x="192062"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s:wsp>
                              <wps:cNvPr id="2078" name="Shape 2078"/>
                              <wps:cNvSpPr/>
                              <wps:spPr>
                                <a:xfrm>
                                  <a:off x="2856497" y="364973"/>
                                  <a:ext cx="192062" cy="0"/>
                                </a:xfrm>
                                <a:custGeom>
                                  <a:avLst/>
                                  <a:gdLst/>
                                  <a:ahLst/>
                                  <a:cxnLst/>
                                  <a:rect l="0" t="0" r="0" b="0"/>
                                  <a:pathLst>
                                    <a:path w="192062">
                                      <a:moveTo>
                                        <a:pt x="0" y="0"/>
                                      </a:moveTo>
                                      <a:lnTo>
                                        <a:pt x="192062"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s:wsp>
                              <wps:cNvPr id="2079" name="Shape 2079"/>
                              <wps:cNvSpPr/>
                              <wps:spPr>
                                <a:xfrm>
                                  <a:off x="2953220" y="364731"/>
                                  <a:ext cx="0" cy="1216889"/>
                                </a:xfrm>
                                <a:custGeom>
                                  <a:avLst/>
                                  <a:gdLst/>
                                  <a:ahLst/>
                                  <a:cxnLst/>
                                  <a:rect l="0" t="0" r="0" b="0"/>
                                  <a:pathLst>
                                    <a:path h="1216889">
                                      <a:moveTo>
                                        <a:pt x="0" y="0"/>
                                      </a:moveTo>
                                      <a:lnTo>
                                        <a:pt x="0" y="1216889"/>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s:wsp>
                              <wps:cNvPr id="39450" name="Shape 39450"/>
                              <wps:cNvSpPr/>
                              <wps:spPr>
                                <a:xfrm>
                                  <a:off x="2761488" y="896658"/>
                                  <a:ext cx="386321" cy="286131"/>
                                </a:xfrm>
                                <a:custGeom>
                                  <a:avLst/>
                                  <a:gdLst/>
                                  <a:ahLst/>
                                  <a:cxnLst/>
                                  <a:rect l="0" t="0" r="0" b="0"/>
                                  <a:pathLst>
                                    <a:path w="386321" h="286131">
                                      <a:moveTo>
                                        <a:pt x="0" y="0"/>
                                      </a:moveTo>
                                      <a:lnTo>
                                        <a:pt x="386321" y="0"/>
                                      </a:lnTo>
                                      <a:lnTo>
                                        <a:pt x="386321" y="286131"/>
                                      </a:lnTo>
                                      <a:lnTo>
                                        <a:pt x="0" y="286131"/>
                                      </a:lnTo>
                                      <a:lnTo>
                                        <a:pt x="0" y="0"/>
                                      </a:lnTo>
                                    </a:path>
                                  </a:pathLst>
                                </a:custGeom>
                                <a:ln w="0" cap="flat">
                                  <a:miter lim="127000"/>
                                </a:ln>
                              </wps:spPr>
                              <wps:style>
                                <a:lnRef idx="0">
                                  <a:srgbClr val="000000">
                                    <a:alpha val="0"/>
                                  </a:srgbClr>
                                </a:lnRef>
                                <a:fillRef idx="1">
                                  <a:srgbClr val="8982B3"/>
                                </a:fillRef>
                                <a:effectRef idx="0">
                                  <a:scrgbClr r="0" g="0" b="0"/>
                                </a:effectRef>
                                <a:fontRef idx="none"/>
                              </wps:style>
                              <wps:bodyPr/>
                            </wps:wsp>
                            <wps:wsp>
                              <wps:cNvPr id="39451" name="Shape 39451"/>
                              <wps:cNvSpPr/>
                              <wps:spPr>
                                <a:xfrm>
                                  <a:off x="2761488" y="1182789"/>
                                  <a:ext cx="386321" cy="127876"/>
                                </a:xfrm>
                                <a:custGeom>
                                  <a:avLst/>
                                  <a:gdLst/>
                                  <a:ahLst/>
                                  <a:cxnLst/>
                                  <a:rect l="0" t="0" r="0" b="0"/>
                                  <a:pathLst>
                                    <a:path w="386321" h="127876">
                                      <a:moveTo>
                                        <a:pt x="0" y="0"/>
                                      </a:moveTo>
                                      <a:lnTo>
                                        <a:pt x="386321" y="0"/>
                                      </a:lnTo>
                                      <a:lnTo>
                                        <a:pt x="386321" y="127876"/>
                                      </a:lnTo>
                                      <a:lnTo>
                                        <a:pt x="0" y="127876"/>
                                      </a:lnTo>
                                      <a:lnTo>
                                        <a:pt x="0" y="0"/>
                                      </a:lnTo>
                                    </a:path>
                                  </a:pathLst>
                                </a:custGeom>
                                <a:ln w="0" cap="flat">
                                  <a:miter lim="127000"/>
                                </a:ln>
                              </wps:spPr>
                              <wps:style>
                                <a:lnRef idx="0">
                                  <a:srgbClr val="000000">
                                    <a:alpha val="0"/>
                                  </a:srgbClr>
                                </a:lnRef>
                                <a:fillRef idx="1">
                                  <a:srgbClr val="8982B3"/>
                                </a:fillRef>
                                <a:effectRef idx="0">
                                  <a:scrgbClr r="0" g="0" b="0"/>
                                </a:effectRef>
                                <a:fontRef idx="none"/>
                              </wps:style>
                              <wps:bodyPr/>
                            </wps:wsp>
                            <wps:wsp>
                              <wps:cNvPr id="2084" name="Shape 2084"/>
                              <wps:cNvSpPr/>
                              <wps:spPr>
                                <a:xfrm>
                                  <a:off x="2761488" y="896658"/>
                                  <a:ext cx="386321" cy="414007"/>
                                </a:xfrm>
                                <a:custGeom>
                                  <a:avLst/>
                                  <a:gdLst/>
                                  <a:ahLst/>
                                  <a:cxnLst/>
                                  <a:rect l="0" t="0" r="0" b="0"/>
                                  <a:pathLst>
                                    <a:path w="386321" h="414007">
                                      <a:moveTo>
                                        <a:pt x="0" y="414007"/>
                                      </a:moveTo>
                                      <a:lnTo>
                                        <a:pt x="386321" y="414007"/>
                                      </a:lnTo>
                                      <a:lnTo>
                                        <a:pt x="386321" y="0"/>
                                      </a:lnTo>
                                      <a:lnTo>
                                        <a:pt x="0" y="0"/>
                                      </a:lnTo>
                                      <a:close/>
                                    </a:path>
                                  </a:pathLst>
                                </a:custGeom>
                                <a:ln w="25400" cap="flat">
                                  <a:miter lim="127000"/>
                                </a:ln>
                              </wps:spPr>
                              <wps:style>
                                <a:lnRef idx="1">
                                  <a:srgbClr val="181717"/>
                                </a:lnRef>
                                <a:fillRef idx="0">
                                  <a:srgbClr val="000000">
                                    <a:alpha val="0"/>
                                  </a:srgbClr>
                                </a:fillRef>
                                <a:effectRef idx="0">
                                  <a:scrgbClr r="0" g="0" b="0"/>
                                </a:effectRef>
                                <a:fontRef idx="none"/>
                              </wps:style>
                              <wps:bodyPr/>
                            </wps:wsp>
                            <wps:wsp>
                              <wps:cNvPr id="2086" name="Shape 2086"/>
                              <wps:cNvSpPr/>
                              <wps:spPr>
                                <a:xfrm>
                                  <a:off x="2774188" y="1182789"/>
                                  <a:ext cx="360921" cy="0"/>
                                </a:xfrm>
                                <a:custGeom>
                                  <a:avLst/>
                                  <a:gdLst/>
                                  <a:ahLst/>
                                  <a:cxnLst/>
                                  <a:rect l="0" t="0" r="0" b="0"/>
                                  <a:pathLst>
                                    <a:path w="360921">
                                      <a:moveTo>
                                        <a:pt x="0" y="0"/>
                                      </a:moveTo>
                                      <a:lnTo>
                                        <a:pt x="360921" y="0"/>
                                      </a:lnTo>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087" name="Shape 2087"/>
                              <wps:cNvSpPr/>
                              <wps:spPr>
                                <a:xfrm>
                                  <a:off x="1373048" y="1716786"/>
                                  <a:ext cx="192062" cy="0"/>
                                </a:xfrm>
                                <a:custGeom>
                                  <a:avLst/>
                                  <a:gdLst/>
                                  <a:ahLst/>
                                  <a:cxnLst/>
                                  <a:rect l="0" t="0" r="0" b="0"/>
                                  <a:pathLst>
                                    <a:path w="192062">
                                      <a:moveTo>
                                        <a:pt x="192062" y="0"/>
                                      </a:moveTo>
                                      <a:lnTo>
                                        <a:pt x="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s:wsp>
                              <wps:cNvPr id="2088" name="Shape 2088"/>
                              <wps:cNvSpPr/>
                              <wps:spPr>
                                <a:xfrm>
                                  <a:off x="1468387" y="909333"/>
                                  <a:ext cx="0" cy="807631"/>
                                </a:xfrm>
                                <a:custGeom>
                                  <a:avLst/>
                                  <a:gdLst/>
                                  <a:ahLst/>
                                  <a:cxnLst/>
                                  <a:rect l="0" t="0" r="0" b="0"/>
                                  <a:pathLst>
                                    <a:path h="807631">
                                      <a:moveTo>
                                        <a:pt x="0" y="807631"/>
                                      </a:moveTo>
                                      <a:lnTo>
                                        <a:pt x="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s:wsp>
                              <wps:cNvPr id="39452" name="Shape 39452"/>
                              <wps:cNvSpPr/>
                              <wps:spPr>
                                <a:xfrm>
                                  <a:off x="1275918" y="331115"/>
                                  <a:ext cx="386321" cy="582714"/>
                                </a:xfrm>
                                <a:custGeom>
                                  <a:avLst/>
                                  <a:gdLst/>
                                  <a:ahLst/>
                                  <a:cxnLst/>
                                  <a:rect l="0" t="0" r="0" b="0"/>
                                  <a:pathLst>
                                    <a:path w="386321" h="582714">
                                      <a:moveTo>
                                        <a:pt x="0" y="0"/>
                                      </a:moveTo>
                                      <a:lnTo>
                                        <a:pt x="386321" y="0"/>
                                      </a:lnTo>
                                      <a:lnTo>
                                        <a:pt x="386321" y="582714"/>
                                      </a:lnTo>
                                      <a:lnTo>
                                        <a:pt x="0" y="582714"/>
                                      </a:lnTo>
                                      <a:lnTo>
                                        <a:pt x="0" y="0"/>
                                      </a:lnTo>
                                    </a:path>
                                  </a:pathLst>
                                </a:custGeom>
                                <a:ln w="0" cap="flat">
                                  <a:miter lim="127000"/>
                                </a:ln>
                              </wps:spPr>
                              <wps:style>
                                <a:lnRef idx="0">
                                  <a:srgbClr val="000000">
                                    <a:alpha val="0"/>
                                  </a:srgbClr>
                                </a:lnRef>
                                <a:fillRef idx="1">
                                  <a:srgbClr val="8982B3"/>
                                </a:fillRef>
                                <a:effectRef idx="0">
                                  <a:scrgbClr r="0" g="0" b="0"/>
                                </a:effectRef>
                                <a:fontRef idx="none"/>
                              </wps:style>
                              <wps:bodyPr/>
                            </wps:wsp>
                            <wps:wsp>
                              <wps:cNvPr id="2092" name="Shape 2092"/>
                              <wps:cNvSpPr/>
                              <wps:spPr>
                                <a:xfrm>
                                  <a:off x="1275918" y="331114"/>
                                  <a:ext cx="386321" cy="582714"/>
                                </a:xfrm>
                                <a:custGeom>
                                  <a:avLst/>
                                  <a:gdLst/>
                                  <a:ahLst/>
                                  <a:cxnLst/>
                                  <a:rect l="0" t="0" r="0" b="0"/>
                                  <a:pathLst>
                                    <a:path w="386321" h="582714">
                                      <a:moveTo>
                                        <a:pt x="0" y="582714"/>
                                      </a:moveTo>
                                      <a:lnTo>
                                        <a:pt x="386321" y="582714"/>
                                      </a:lnTo>
                                      <a:lnTo>
                                        <a:pt x="386321" y="0"/>
                                      </a:lnTo>
                                      <a:lnTo>
                                        <a:pt x="0" y="0"/>
                                      </a:lnTo>
                                      <a:close/>
                                    </a:path>
                                  </a:pathLst>
                                </a:custGeom>
                                <a:ln w="25400" cap="flat">
                                  <a:miter lim="127000"/>
                                </a:ln>
                              </wps:spPr>
                              <wps:style>
                                <a:lnRef idx="1">
                                  <a:srgbClr val="181717"/>
                                </a:lnRef>
                                <a:fillRef idx="0">
                                  <a:srgbClr val="000000">
                                    <a:alpha val="0"/>
                                  </a:srgbClr>
                                </a:fillRef>
                                <a:effectRef idx="0">
                                  <a:scrgbClr r="0" g="0" b="0"/>
                                </a:effectRef>
                                <a:fontRef idx="none"/>
                              </wps:style>
                              <wps:bodyPr/>
                            </wps:wsp>
                            <wps:wsp>
                              <wps:cNvPr id="2094" name="Shape 2094"/>
                              <wps:cNvSpPr/>
                              <wps:spPr>
                                <a:xfrm>
                                  <a:off x="2935643" y="75146"/>
                                  <a:ext cx="31140" cy="31141"/>
                                </a:xfrm>
                                <a:custGeom>
                                  <a:avLst/>
                                  <a:gdLst/>
                                  <a:ahLst/>
                                  <a:cxnLst/>
                                  <a:rect l="0" t="0" r="0" b="0"/>
                                  <a:pathLst>
                                    <a:path w="31140" h="31141">
                                      <a:moveTo>
                                        <a:pt x="15570" y="0"/>
                                      </a:moveTo>
                                      <a:cubicBezTo>
                                        <a:pt x="24164" y="0"/>
                                        <a:pt x="31140" y="6976"/>
                                        <a:pt x="31140" y="15570"/>
                                      </a:cubicBezTo>
                                      <a:cubicBezTo>
                                        <a:pt x="31140" y="24166"/>
                                        <a:pt x="24164" y="31141"/>
                                        <a:pt x="15570" y="31141"/>
                                      </a:cubicBezTo>
                                      <a:cubicBezTo>
                                        <a:pt x="6976" y="31141"/>
                                        <a:pt x="0" y="24166"/>
                                        <a:pt x="0" y="15570"/>
                                      </a:cubicBezTo>
                                      <a:cubicBezTo>
                                        <a:pt x="0" y="6976"/>
                                        <a:pt x="6976" y="0"/>
                                        <a:pt x="15570"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2097" name="Shape 2097"/>
                              <wps:cNvSpPr/>
                              <wps:spPr>
                                <a:xfrm>
                                  <a:off x="2932468" y="72161"/>
                                  <a:ext cx="37490" cy="37491"/>
                                </a:xfrm>
                                <a:custGeom>
                                  <a:avLst/>
                                  <a:gdLst/>
                                  <a:ahLst/>
                                  <a:cxnLst/>
                                  <a:rect l="0" t="0" r="0" b="0"/>
                                  <a:pathLst>
                                    <a:path w="37490" h="37491">
                                      <a:moveTo>
                                        <a:pt x="37490" y="18745"/>
                                      </a:moveTo>
                                      <a:cubicBezTo>
                                        <a:pt x="37490" y="29093"/>
                                        <a:pt x="29092" y="37491"/>
                                        <a:pt x="18745" y="37491"/>
                                      </a:cubicBezTo>
                                      <a:cubicBezTo>
                                        <a:pt x="8398" y="37491"/>
                                        <a:pt x="0" y="29093"/>
                                        <a:pt x="0" y="18745"/>
                                      </a:cubicBezTo>
                                      <a:cubicBezTo>
                                        <a:pt x="0" y="8398"/>
                                        <a:pt x="8398" y="0"/>
                                        <a:pt x="18745" y="0"/>
                                      </a:cubicBezTo>
                                      <a:cubicBezTo>
                                        <a:pt x="29092" y="0"/>
                                        <a:pt x="37490" y="8398"/>
                                        <a:pt x="37490" y="18745"/>
                                      </a:cubicBezTo>
                                      <a:close/>
                                    </a:path>
                                  </a:pathLst>
                                </a:custGeom>
                                <a:ln w="12700" cap="flat">
                                  <a:miter lim="127000"/>
                                </a:ln>
                              </wps:spPr>
                              <wps:style>
                                <a:lnRef idx="1">
                                  <a:srgbClr val="181717"/>
                                </a:lnRef>
                                <a:fillRef idx="0">
                                  <a:srgbClr val="000000">
                                    <a:alpha val="0"/>
                                  </a:srgbClr>
                                </a:fillRef>
                                <a:effectRef idx="0">
                                  <a:scrgbClr r="0" g="0" b="0"/>
                                </a:effectRef>
                                <a:fontRef idx="none"/>
                              </wps:style>
                              <wps:bodyPr/>
                            </wps:wsp>
                            <wps:wsp>
                              <wps:cNvPr id="2099" name="Rectangle 2099"/>
                              <wps:cNvSpPr/>
                              <wps:spPr>
                                <a:xfrm>
                                  <a:off x="230636" y="115000"/>
                                  <a:ext cx="373602" cy="140466"/>
                                </a:xfrm>
                                <a:prstGeom prst="rect">
                                  <a:avLst/>
                                </a:prstGeom>
                                <a:ln>
                                  <a:noFill/>
                                </a:ln>
                              </wps:spPr>
                              <wps:txbx>
                                <w:txbxContent>
                                  <w:p w14:paraId="2A710195" w14:textId="77777777" w:rsidR="006F0DDB" w:rsidRDefault="00000000">
                                    <w:pPr>
                                      <w:spacing w:after="160" w:line="259" w:lineRule="auto"/>
                                      <w:ind w:left="0" w:right="0" w:firstLine="0"/>
                                      <w:jc w:val="left"/>
                                    </w:pPr>
                                    <w:r>
                                      <w:rPr>
                                        <w:rFonts w:ascii="Arial" w:eastAsia="Arial" w:hAnsi="Arial" w:cs="Arial"/>
                                        <w:sz w:val="18"/>
                                      </w:rPr>
                                      <w:t>12.50</w:t>
                                    </w:r>
                                  </w:p>
                                </w:txbxContent>
                              </wps:txbx>
                              <wps:bodyPr horzOverflow="overflow" vert="horz" lIns="0" tIns="0" rIns="0" bIns="0" rtlCol="0">
                                <a:noAutofit/>
                              </wps:bodyPr>
                            </wps:wsp>
                            <wps:wsp>
                              <wps:cNvPr id="2100" name="Rectangle 2100"/>
                              <wps:cNvSpPr/>
                              <wps:spPr>
                                <a:xfrm>
                                  <a:off x="510264" y="115000"/>
                                  <a:ext cx="42261" cy="140466"/>
                                </a:xfrm>
                                <a:prstGeom prst="rect">
                                  <a:avLst/>
                                </a:prstGeom>
                                <a:ln>
                                  <a:noFill/>
                                </a:ln>
                              </wps:spPr>
                              <wps:txbx>
                                <w:txbxContent>
                                  <w:p w14:paraId="2F2F5CFE"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2101" name="Rectangle 2101"/>
                              <wps:cNvSpPr/>
                              <wps:spPr>
                                <a:xfrm>
                                  <a:off x="230636" y="456631"/>
                                  <a:ext cx="373602" cy="140466"/>
                                </a:xfrm>
                                <a:prstGeom prst="rect">
                                  <a:avLst/>
                                </a:prstGeom>
                                <a:ln>
                                  <a:noFill/>
                                </a:ln>
                              </wps:spPr>
                              <wps:txbx>
                                <w:txbxContent>
                                  <w:p w14:paraId="2EA193A9" w14:textId="77777777" w:rsidR="006F0DDB" w:rsidRDefault="00000000">
                                    <w:pPr>
                                      <w:spacing w:after="160" w:line="259" w:lineRule="auto"/>
                                      <w:ind w:left="0" w:right="0" w:firstLine="0"/>
                                      <w:jc w:val="left"/>
                                    </w:pPr>
                                    <w:r>
                                      <w:rPr>
                                        <w:rFonts w:ascii="Arial" w:eastAsia="Arial" w:hAnsi="Arial" w:cs="Arial"/>
                                        <w:sz w:val="18"/>
                                      </w:rPr>
                                      <w:t>10.00</w:t>
                                    </w:r>
                                  </w:p>
                                </w:txbxContent>
                              </wps:txbx>
                              <wps:bodyPr horzOverflow="overflow" vert="horz" lIns="0" tIns="0" rIns="0" bIns="0" rtlCol="0">
                                <a:noAutofit/>
                              </wps:bodyPr>
                            </wps:wsp>
                            <wps:wsp>
                              <wps:cNvPr id="2102" name="Rectangle 2102"/>
                              <wps:cNvSpPr/>
                              <wps:spPr>
                                <a:xfrm>
                                  <a:off x="510264" y="456631"/>
                                  <a:ext cx="42261" cy="140466"/>
                                </a:xfrm>
                                <a:prstGeom prst="rect">
                                  <a:avLst/>
                                </a:prstGeom>
                                <a:ln>
                                  <a:noFill/>
                                </a:ln>
                              </wps:spPr>
                              <wps:txbx>
                                <w:txbxContent>
                                  <w:p w14:paraId="367E4E0A"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2103" name="Rectangle 2103"/>
                              <wps:cNvSpPr/>
                              <wps:spPr>
                                <a:xfrm>
                                  <a:off x="292917" y="798260"/>
                                  <a:ext cx="290767" cy="140466"/>
                                </a:xfrm>
                                <a:prstGeom prst="rect">
                                  <a:avLst/>
                                </a:prstGeom>
                                <a:ln>
                                  <a:noFill/>
                                </a:ln>
                              </wps:spPr>
                              <wps:txbx>
                                <w:txbxContent>
                                  <w:p w14:paraId="484A294A" w14:textId="77777777" w:rsidR="006F0DDB" w:rsidRDefault="00000000">
                                    <w:pPr>
                                      <w:spacing w:after="160" w:line="259" w:lineRule="auto"/>
                                      <w:ind w:left="0" w:right="0" w:firstLine="0"/>
                                      <w:jc w:val="left"/>
                                    </w:pPr>
                                    <w:r>
                                      <w:rPr>
                                        <w:rFonts w:ascii="Arial" w:eastAsia="Arial" w:hAnsi="Arial" w:cs="Arial"/>
                                        <w:sz w:val="18"/>
                                      </w:rPr>
                                      <w:t>7.50</w:t>
                                    </w:r>
                                  </w:p>
                                </w:txbxContent>
                              </wps:txbx>
                              <wps:bodyPr horzOverflow="overflow" vert="horz" lIns="0" tIns="0" rIns="0" bIns="0" rtlCol="0">
                                <a:noAutofit/>
                              </wps:bodyPr>
                            </wps:wsp>
                            <wps:wsp>
                              <wps:cNvPr id="2104" name="Rectangle 2104"/>
                              <wps:cNvSpPr/>
                              <wps:spPr>
                                <a:xfrm>
                                  <a:off x="510264" y="798260"/>
                                  <a:ext cx="42261" cy="140466"/>
                                </a:xfrm>
                                <a:prstGeom prst="rect">
                                  <a:avLst/>
                                </a:prstGeom>
                                <a:ln>
                                  <a:noFill/>
                                </a:ln>
                              </wps:spPr>
                              <wps:txbx>
                                <w:txbxContent>
                                  <w:p w14:paraId="18B23AA0"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2105" name="Rectangle 2105"/>
                              <wps:cNvSpPr/>
                              <wps:spPr>
                                <a:xfrm>
                                  <a:off x="292917" y="1139890"/>
                                  <a:ext cx="290767" cy="140466"/>
                                </a:xfrm>
                                <a:prstGeom prst="rect">
                                  <a:avLst/>
                                </a:prstGeom>
                                <a:ln>
                                  <a:noFill/>
                                </a:ln>
                              </wps:spPr>
                              <wps:txbx>
                                <w:txbxContent>
                                  <w:p w14:paraId="293F391A" w14:textId="77777777" w:rsidR="006F0DDB" w:rsidRDefault="00000000">
                                    <w:pPr>
                                      <w:spacing w:after="160" w:line="259" w:lineRule="auto"/>
                                      <w:ind w:left="0" w:right="0" w:firstLine="0"/>
                                      <w:jc w:val="left"/>
                                    </w:pPr>
                                    <w:r>
                                      <w:rPr>
                                        <w:rFonts w:ascii="Arial" w:eastAsia="Arial" w:hAnsi="Arial" w:cs="Arial"/>
                                        <w:sz w:val="18"/>
                                      </w:rPr>
                                      <w:t>5.00</w:t>
                                    </w:r>
                                  </w:p>
                                </w:txbxContent>
                              </wps:txbx>
                              <wps:bodyPr horzOverflow="overflow" vert="horz" lIns="0" tIns="0" rIns="0" bIns="0" rtlCol="0">
                                <a:noAutofit/>
                              </wps:bodyPr>
                            </wps:wsp>
                            <wps:wsp>
                              <wps:cNvPr id="2106" name="Rectangle 2106"/>
                              <wps:cNvSpPr/>
                              <wps:spPr>
                                <a:xfrm>
                                  <a:off x="510264" y="1139890"/>
                                  <a:ext cx="42261" cy="140466"/>
                                </a:xfrm>
                                <a:prstGeom prst="rect">
                                  <a:avLst/>
                                </a:prstGeom>
                                <a:ln>
                                  <a:noFill/>
                                </a:ln>
                              </wps:spPr>
                              <wps:txbx>
                                <w:txbxContent>
                                  <w:p w14:paraId="7E0FE1F0"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2107" name="Rectangle 2107"/>
                              <wps:cNvSpPr/>
                              <wps:spPr>
                                <a:xfrm>
                                  <a:off x="292917" y="1481520"/>
                                  <a:ext cx="290767" cy="140466"/>
                                </a:xfrm>
                                <a:prstGeom prst="rect">
                                  <a:avLst/>
                                </a:prstGeom>
                                <a:ln>
                                  <a:noFill/>
                                </a:ln>
                              </wps:spPr>
                              <wps:txbx>
                                <w:txbxContent>
                                  <w:p w14:paraId="50F0CB6C" w14:textId="77777777" w:rsidR="006F0DDB" w:rsidRDefault="00000000">
                                    <w:pPr>
                                      <w:spacing w:after="160" w:line="259" w:lineRule="auto"/>
                                      <w:ind w:left="0" w:right="0" w:firstLine="0"/>
                                      <w:jc w:val="left"/>
                                    </w:pPr>
                                    <w:r>
                                      <w:rPr>
                                        <w:rFonts w:ascii="Arial" w:eastAsia="Arial" w:hAnsi="Arial" w:cs="Arial"/>
                                        <w:sz w:val="18"/>
                                      </w:rPr>
                                      <w:t>2.50</w:t>
                                    </w:r>
                                  </w:p>
                                </w:txbxContent>
                              </wps:txbx>
                              <wps:bodyPr horzOverflow="overflow" vert="horz" lIns="0" tIns="0" rIns="0" bIns="0" rtlCol="0">
                                <a:noAutofit/>
                              </wps:bodyPr>
                            </wps:wsp>
                            <wps:wsp>
                              <wps:cNvPr id="2108" name="Rectangle 2108"/>
                              <wps:cNvSpPr/>
                              <wps:spPr>
                                <a:xfrm>
                                  <a:off x="510264" y="1481520"/>
                                  <a:ext cx="42261" cy="140466"/>
                                </a:xfrm>
                                <a:prstGeom prst="rect">
                                  <a:avLst/>
                                </a:prstGeom>
                                <a:ln>
                                  <a:noFill/>
                                </a:ln>
                              </wps:spPr>
                              <wps:txbx>
                                <w:txbxContent>
                                  <w:p w14:paraId="0D2AE3B5" w14:textId="77777777" w:rsidR="006F0DDB" w:rsidRDefault="00000000">
                                    <w:pPr>
                                      <w:spacing w:after="160" w:line="259" w:lineRule="auto"/>
                                      <w:ind w:left="0" w:right="0" w:firstLine="0"/>
                                      <w:jc w:val="left"/>
                                    </w:pPr>
                                    <w:r>
                                      <w:rPr>
                                        <w:rFonts w:ascii="Arial" w:eastAsia="Arial" w:hAnsi="Arial" w:cs="Arial"/>
                                        <w:sz w:val="18"/>
                                      </w:rPr>
                                      <w:t xml:space="preserve"> </w:t>
                                    </w:r>
                                  </w:p>
                                </w:txbxContent>
                              </wps:txbx>
                              <wps:bodyPr horzOverflow="overflow" vert="horz" lIns="0" tIns="0" rIns="0" bIns="0" rtlCol="0">
                                <a:noAutofit/>
                              </wps:bodyPr>
                            </wps:wsp>
                            <wps:wsp>
                              <wps:cNvPr id="2109" name="Rectangle 2109"/>
                              <wps:cNvSpPr/>
                              <wps:spPr>
                                <a:xfrm>
                                  <a:off x="355197" y="1823151"/>
                                  <a:ext cx="207932" cy="140466"/>
                                </a:xfrm>
                                <a:prstGeom prst="rect">
                                  <a:avLst/>
                                </a:prstGeom>
                                <a:ln>
                                  <a:noFill/>
                                </a:ln>
                              </wps:spPr>
                              <wps:txbx>
                                <w:txbxContent>
                                  <w:p w14:paraId="3D09034A" w14:textId="77777777" w:rsidR="006F0DDB" w:rsidRDefault="00000000">
                                    <w:pPr>
                                      <w:spacing w:after="160" w:line="259" w:lineRule="auto"/>
                                      <w:ind w:left="0" w:right="0" w:firstLine="0"/>
                                      <w:jc w:val="left"/>
                                    </w:pPr>
                                    <w:r>
                                      <w:rPr>
                                        <w:rFonts w:ascii="Arial" w:eastAsia="Arial" w:hAnsi="Arial" w:cs="Arial"/>
                                        <w:sz w:val="18"/>
                                      </w:rPr>
                                      <w:t>0.0</w:t>
                                    </w:r>
                                  </w:p>
                                </w:txbxContent>
                              </wps:txbx>
                              <wps:bodyPr horzOverflow="overflow" vert="horz" lIns="0" tIns="0" rIns="0" bIns="0" rtlCol="0">
                                <a:noAutofit/>
                              </wps:bodyPr>
                            </wps:wsp>
                          </wpg:wgp>
                        </a:graphicData>
                      </a:graphic>
                    </wp:inline>
                  </w:drawing>
                </mc:Choice>
                <mc:Fallback xmlns:a="http://schemas.openxmlformats.org/drawingml/2006/main">
                  <w:pict>
                    <v:group id="Group 30211" style="width:311.363pt;height:182.363pt;mso-position-horizontal-relative:char;mso-position-vertical-relative:line" coordsize="39543,23160">
                      <v:shape id="Shape 2065" style="position:absolute;width:39543;height:23160;left:0;top:0;" coordsize="3954310,2316010" path="m0,2316010l3954310,2316010l3954310,0l0,0x">
                        <v:stroke weight="0.637pt" endcap="flat" joinstyle="miter" miterlimit="10" on="true" color="#563c80"/>
                        <v:fill on="false" color="#000000" opacity="0"/>
                      </v:shape>
                      <v:shape id="Shape 2066" style="position:absolute;width:32480;height:18408;left:5767;top:1188;" coordsize="3248025,1840840" path="m3248025,1840840l0,1840840l0,0">
                        <v:stroke weight="0.5pt" endcap="flat" joinstyle="miter" miterlimit="10" on="true" color="#181717"/>
                        <v:fill on="false" color="#000000" opacity="0"/>
                      </v:shape>
                      <v:shape id="Shape 2067" style="position:absolute;width:32879;height:0;left:5355;top:1518;" coordsize="3287992,0" path="m0,0l3287992,0">
                        <v:stroke weight="0.5pt" endcap="flat" joinstyle="miter" miterlimit="10" on="true" color="#181717"/>
                        <v:fill on="false" color="#000000" opacity="0"/>
                      </v:shape>
                      <v:shape id="Shape 2068" style="position:absolute;width:32879;height:0;left:5368;top:4928;" coordsize="3287992,0" path="m0,0l3287992,0">
                        <v:stroke weight="0.5pt" endcap="flat" joinstyle="miter" miterlimit="10" on="true" color="#181717"/>
                        <v:fill on="false" color="#000000" opacity="0"/>
                      </v:shape>
                      <v:shape id="Shape 2069" style="position:absolute;width:32879;height:0;left:5368;top:8413;" coordsize="3287992,0" path="m0,0l3287992,0">
                        <v:stroke weight="0.5pt" endcap="flat" joinstyle="miter" miterlimit="10" on="true" color="#181717"/>
                        <v:fill on="false" color="#000000" opacity="0"/>
                      </v:shape>
                      <v:shape id="Shape 2070" style="position:absolute;width:32879;height:0;left:5368;top:11808;" coordsize="3287992,0" path="m0,0l3287992,0">
                        <v:stroke weight="0.5pt" endcap="flat" joinstyle="miter" miterlimit="10" on="true" color="#181717"/>
                        <v:fill on="false" color="#000000" opacity="0"/>
                      </v:shape>
                      <v:shape id="Shape 2071" style="position:absolute;width:32879;height:0;left:5368;top:15203;" coordsize="3287992,0" path="m0,0l3287992,0">
                        <v:stroke weight="0.5pt" endcap="flat" joinstyle="miter" miterlimit="10" on="true" color="#181717"/>
                        <v:fill on="false" color="#000000" opacity="0"/>
                      </v:shape>
                      <v:shape id="Shape 2072" style="position:absolute;width:32879;height:0;left:5368;top:18649;" coordsize="3287992,0" path="m0,0l3287992,0">
                        <v:stroke weight="0.5pt" endcap="flat" joinstyle="miter" miterlimit="10" on="true" color="#181717"/>
                        <v:fill on="false" color="#000000" opacity="0"/>
                      </v:shape>
                      <v:rect id="Rectangle 2073" style="position:absolute;width:25012;height:1383;left:-10753;top:6619;rotation:270;" filled="f" stroked="f">
                        <v:textbox inset="0,0,0,0" style="layout-flow:vertical;mso-layout-flow-alt:bottom-to-top">
                          <w:txbxContent>
                            <w:p>
                              <w:pPr>
                                <w:spacing w:before="0" w:after="160" w:line="259" w:lineRule="auto"/>
                                <w:ind w:left="0" w:right="0" w:firstLine="0"/>
                                <w:jc w:val="left"/>
                              </w:pPr>
                              <w:r>
                                <w:rPr>
                                  <w:rFonts w:cs="Arial" w:hAnsi="Arial" w:eastAsia="Arial" w:ascii="Arial"/>
                                  <w:sz w:val="18"/>
                                </w:rPr>
                                <w:t xml:space="preserve">No Catheter Changes in 12 Months</w:t>
                              </w:r>
                            </w:p>
                          </w:txbxContent>
                        </v:textbox>
                      </v:rect>
                      <v:rect id="Rectangle 2074" style="position:absolute;width:9074;height:1404;left:10446;top:20002;" filled="f" stroked="f">
                        <v:textbox inset="0,0,0,0">
                          <w:txbxContent>
                            <w:p>
                              <w:pPr>
                                <w:spacing w:before="0" w:after="160" w:line="259" w:lineRule="auto"/>
                                <w:ind w:left="0" w:right="0" w:firstLine="0"/>
                                <w:jc w:val="left"/>
                              </w:pPr>
                              <w:r>
                                <w:rPr>
                                  <w:rFonts w:cs="Arial" w:hAnsi="Arial" w:eastAsia="Arial" w:ascii="Arial"/>
                                  <w:sz w:val="18"/>
                                </w:rPr>
                                <w:t xml:space="preserve">United States</w:t>
                              </w:r>
                            </w:p>
                          </w:txbxContent>
                        </v:textbox>
                      </v:rect>
                      <v:rect id="Rectangle 2075" style="position:absolute;width:10862;height:1404;left:26038;top:20002;" filled="f" stroked="f">
                        <v:textbox inset="0,0,0,0">
                          <w:txbxContent>
                            <w:p>
                              <w:pPr>
                                <w:spacing w:before="0" w:after="160" w:line="259" w:lineRule="auto"/>
                                <w:ind w:left="0" w:right="0" w:firstLine="0"/>
                                <w:jc w:val="left"/>
                              </w:pPr>
                              <w:r>
                                <w:rPr>
                                  <w:rFonts w:cs="Arial" w:hAnsi="Arial" w:eastAsia="Arial" w:ascii="Arial"/>
                                  <w:sz w:val="18"/>
                                </w:rPr>
                                <w:t xml:space="preserve">United Kingdom</w:t>
                              </w:r>
                            </w:p>
                          </w:txbxContent>
                        </v:textbox>
                      </v:rect>
                      <v:rect id="Rectangle 2076" style="position:absolute;width:5672;height:1383;left:19859;top:21439;" filled="f" stroked="f">
                        <v:textbox inset="0,0,0,0">
                          <w:txbxContent>
                            <w:p>
                              <w:pPr>
                                <w:spacing w:before="0" w:after="160" w:line="259" w:lineRule="auto"/>
                                <w:ind w:left="0" w:right="0" w:firstLine="0"/>
                                <w:jc w:val="left"/>
                              </w:pPr>
                              <w:r>
                                <w:rPr>
                                  <w:rFonts w:cs="Arial" w:hAnsi="Arial" w:eastAsia="Arial" w:ascii="Arial"/>
                                  <w:sz w:val="18"/>
                                </w:rPr>
                                <w:t xml:space="preserve">Country</w:t>
                              </w:r>
                            </w:p>
                          </w:txbxContent>
                        </v:textbox>
                      </v:rect>
                      <v:shape id="Shape 2077" style="position:absolute;width:1920;height:0;left:28565;top:15806;" coordsize="192062,0" path="m0,0l192062,0">
                        <v:stroke weight="1pt" endcap="flat" joinstyle="miter" miterlimit="10" on="true" color="#8982b3"/>
                        <v:fill on="false" color="#000000" opacity="0"/>
                      </v:shape>
                      <v:shape id="Shape 2078" style="position:absolute;width:1920;height:0;left:28564;top:3649;" coordsize="192062,0" path="m0,0l192062,0">
                        <v:stroke weight="1pt" endcap="flat" joinstyle="miter" miterlimit="10" on="true" color="#8982b3"/>
                        <v:fill on="false" color="#000000" opacity="0"/>
                      </v:shape>
                      <v:shape id="Shape 2079" style="position:absolute;width:0;height:12168;left:29532;top:3647;" coordsize="0,1216889" path="m0,0l0,1216889">
                        <v:stroke weight="1pt" endcap="flat" joinstyle="miter" miterlimit="10" on="true" color="#8982b3"/>
                        <v:fill on="false" color="#000000" opacity="0"/>
                      </v:shape>
                      <v:shape id="Shape 39453" style="position:absolute;width:3863;height:2861;left:27614;top:8966;" coordsize="386321,286131" path="m0,0l386321,0l386321,286131l0,286131l0,0">
                        <v:stroke weight="0pt" endcap="flat" joinstyle="miter" miterlimit="10" on="false" color="#000000" opacity="0"/>
                        <v:fill on="true" color="#8982b3"/>
                      </v:shape>
                      <v:shape id="Shape 39454" style="position:absolute;width:3863;height:1278;left:27614;top:11827;" coordsize="386321,127876" path="m0,0l386321,0l386321,127876l0,127876l0,0">
                        <v:stroke weight="0pt" endcap="flat" joinstyle="miter" miterlimit="10" on="false" color="#000000" opacity="0"/>
                        <v:fill on="true" color="#8982b3"/>
                      </v:shape>
                      <v:shape id="Shape 2084" style="position:absolute;width:3863;height:4140;left:27614;top:8966;" coordsize="386321,414007" path="m0,414007l386321,414007l386321,0l0,0x">
                        <v:stroke weight="2pt" endcap="flat" joinstyle="miter" miterlimit="10" on="true" color="#181717"/>
                        <v:fill on="false" color="#000000" opacity="0"/>
                      </v:shape>
                      <v:shape id="Shape 2086" style="position:absolute;width:3609;height:0;left:27741;top:11827;" coordsize="360921,0" path="m0,0l360921,0">
                        <v:stroke weight="1pt" endcap="flat" joinstyle="miter" miterlimit="10" on="true" color="#181717"/>
                        <v:fill on="false" color="#000000" opacity="0"/>
                      </v:shape>
                      <v:shape id="Shape 2087" style="position:absolute;width:1920;height:0;left:13730;top:17167;" coordsize="192062,0" path="m192062,0l0,0">
                        <v:stroke weight="1pt" endcap="flat" joinstyle="miter" miterlimit="10" on="true" color="#8982b3"/>
                        <v:fill on="false" color="#000000" opacity="0"/>
                      </v:shape>
                      <v:shape id="Shape 2088" style="position:absolute;width:0;height:8076;left:14683;top:9093;" coordsize="0,807631" path="m0,807631l0,0">
                        <v:stroke weight="1pt" endcap="flat" joinstyle="miter" miterlimit="10" on="true" color="#8982b3"/>
                        <v:fill on="false" color="#000000" opacity="0"/>
                      </v:shape>
                      <v:shape id="Shape 39455" style="position:absolute;width:3863;height:5827;left:12759;top:3311;" coordsize="386321,582714" path="m0,0l386321,0l386321,582714l0,582714l0,0">
                        <v:stroke weight="0pt" endcap="flat" joinstyle="miter" miterlimit="10" on="false" color="#000000" opacity="0"/>
                        <v:fill on="true" color="#8982b3"/>
                      </v:shape>
                      <v:shape id="Shape 2092" style="position:absolute;width:3863;height:5827;left:12759;top:3311;" coordsize="386321,582714" path="m0,582714l386321,582714l386321,0l0,0x">
                        <v:stroke weight="2pt" endcap="flat" joinstyle="miter" miterlimit="10" on="true" color="#181717"/>
                        <v:fill on="false" color="#000000" opacity="0"/>
                      </v:shape>
                      <v:shape id="Shape 2094" style="position:absolute;width:311;height:311;left:29356;top:751;" coordsize="31140,31141" path="m15570,0c24164,0,31140,6976,31140,15570c31140,24166,24164,31141,15570,31141c6976,31141,0,24166,0,15570c0,6976,6976,0,15570,0x">
                        <v:stroke weight="0pt" endcap="flat" joinstyle="miter" miterlimit="10" on="false" color="#000000" opacity="0"/>
                        <v:fill on="true" color="#fffefd"/>
                      </v:shape>
                      <v:shape id="Shape 2097" style="position:absolute;width:374;height:374;left:29324;top:721;" coordsize="37490,37491" path="m37490,18745c37490,29093,29092,37491,18745,37491c8398,37491,0,29093,0,18745c0,8398,8398,0,18745,0c29092,0,37490,8398,37490,18745x">
                        <v:stroke weight="1pt" endcap="flat" joinstyle="miter" miterlimit="10" on="true" color="#181717"/>
                        <v:fill on="false" color="#000000" opacity="0"/>
                      </v:shape>
                      <v:rect id="Rectangle 2099" style="position:absolute;width:3736;height:1404;left:2306;top:1150;" filled="f" stroked="f">
                        <v:textbox inset="0,0,0,0">
                          <w:txbxContent>
                            <w:p>
                              <w:pPr>
                                <w:spacing w:before="0" w:after="160" w:line="259" w:lineRule="auto"/>
                                <w:ind w:left="0" w:right="0" w:firstLine="0"/>
                                <w:jc w:val="left"/>
                              </w:pPr>
                              <w:r>
                                <w:rPr>
                                  <w:rFonts w:cs="Arial" w:hAnsi="Arial" w:eastAsia="Arial" w:ascii="Arial"/>
                                  <w:sz w:val="18"/>
                                </w:rPr>
                                <w:t xml:space="preserve">12.50</w:t>
                              </w:r>
                            </w:p>
                          </w:txbxContent>
                        </v:textbox>
                      </v:rect>
                      <v:rect id="Rectangle 2100" style="position:absolute;width:422;height:1404;left:5102;top:1150;"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2101" style="position:absolute;width:3736;height:1404;left:2306;top:4566;" filled="f" stroked="f">
                        <v:textbox inset="0,0,0,0">
                          <w:txbxContent>
                            <w:p>
                              <w:pPr>
                                <w:spacing w:before="0" w:after="160" w:line="259" w:lineRule="auto"/>
                                <w:ind w:left="0" w:right="0" w:firstLine="0"/>
                                <w:jc w:val="left"/>
                              </w:pPr>
                              <w:r>
                                <w:rPr>
                                  <w:rFonts w:cs="Arial" w:hAnsi="Arial" w:eastAsia="Arial" w:ascii="Arial"/>
                                  <w:sz w:val="18"/>
                                </w:rPr>
                                <w:t xml:space="preserve">10.00</w:t>
                              </w:r>
                            </w:p>
                          </w:txbxContent>
                        </v:textbox>
                      </v:rect>
                      <v:rect id="Rectangle 2102" style="position:absolute;width:422;height:1404;left:5102;top:4566;"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2103" style="position:absolute;width:2907;height:1404;left:2929;top:7982;" filled="f" stroked="f">
                        <v:textbox inset="0,0,0,0">
                          <w:txbxContent>
                            <w:p>
                              <w:pPr>
                                <w:spacing w:before="0" w:after="160" w:line="259" w:lineRule="auto"/>
                                <w:ind w:left="0" w:right="0" w:firstLine="0"/>
                                <w:jc w:val="left"/>
                              </w:pPr>
                              <w:r>
                                <w:rPr>
                                  <w:rFonts w:cs="Arial" w:hAnsi="Arial" w:eastAsia="Arial" w:ascii="Arial"/>
                                  <w:sz w:val="18"/>
                                </w:rPr>
                                <w:t xml:space="preserve">7.50</w:t>
                              </w:r>
                            </w:p>
                          </w:txbxContent>
                        </v:textbox>
                      </v:rect>
                      <v:rect id="Rectangle 2104" style="position:absolute;width:422;height:1404;left:5102;top:7982;"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2105" style="position:absolute;width:2907;height:1404;left:2929;top:11398;" filled="f" stroked="f">
                        <v:textbox inset="0,0,0,0">
                          <w:txbxContent>
                            <w:p>
                              <w:pPr>
                                <w:spacing w:before="0" w:after="160" w:line="259" w:lineRule="auto"/>
                                <w:ind w:left="0" w:right="0" w:firstLine="0"/>
                                <w:jc w:val="left"/>
                              </w:pPr>
                              <w:r>
                                <w:rPr>
                                  <w:rFonts w:cs="Arial" w:hAnsi="Arial" w:eastAsia="Arial" w:ascii="Arial"/>
                                  <w:sz w:val="18"/>
                                </w:rPr>
                                <w:t xml:space="preserve">5.00</w:t>
                              </w:r>
                            </w:p>
                          </w:txbxContent>
                        </v:textbox>
                      </v:rect>
                      <v:rect id="Rectangle 2106" style="position:absolute;width:422;height:1404;left:5102;top:11398;"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2107" style="position:absolute;width:2907;height:1404;left:2929;top:14815;" filled="f" stroked="f">
                        <v:textbox inset="0,0,0,0">
                          <w:txbxContent>
                            <w:p>
                              <w:pPr>
                                <w:spacing w:before="0" w:after="160" w:line="259" w:lineRule="auto"/>
                                <w:ind w:left="0" w:right="0" w:firstLine="0"/>
                                <w:jc w:val="left"/>
                              </w:pPr>
                              <w:r>
                                <w:rPr>
                                  <w:rFonts w:cs="Arial" w:hAnsi="Arial" w:eastAsia="Arial" w:ascii="Arial"/>
                                  <w:sz w:val="18"/>
                                </w:rPr>
                                <w:t xml:space="preserve">2.50</w:t>
                              </w:r>
                            </w:p>
                          </w:txbxContent>
                        </v:textbox>
                      </v:rect>
                      <v:rect id="Rectangle 2108" style="position:absolute;width:422;height:1404;left:5102;top:14815;" filled="f" stroked="f">
                        <v:textbox inset="0,0,0,0">
                          <w:txbxContent>
                            <w:p>
                              <w:pPr>
                                <w:spacing w:before="0" w:after="160" w:line="259" w:lineRule="auto"/>
                                <w:ind w:left="0" w:right="0" w:firstLine="0"/>
                                <w:jc w:val="left"/>
                              </w:pPr>
                              <w:r>
                                <w:rPr>
                                  <w:rFonts w:cs="Arial" w:hAnsi="Arial" w:eastAsia="Arial" w:ascii="Arial"/>
                                  <w:sz w:val="18"/>
                                </w:rPr>
                                <w:t xml:space="preserve"> </w:t>
                              </w:r>
                            </w:p>
                          </w:txbxContent>
                        </v:textbox>
                      </v:rect>
                      <v:rect id="Rectangle 2109" style="position:absolute;width:2079;height:1404;left:3551;top:18231;" filled="f" stroked="f">
                        <v:textbox inset="0,0,0,0">
                          <w:txbxContent>
                            <w:p>
                              <w:pPr>
                                <w:spacing w:before="0" w:after="160" w:line="259" w:lineRule="auto"/>
                                <w:ind w:left="0" w:right="0" w:firstLine="0"/>
                                <w:jc w:val="left"/>
                              </w:pPr>
                              <w:r>
                                <w:rPr>
                                  <w:rFonts w:cs="Arial" w:hAnsi="Arial" w:eastAsia="Arial" w:ascii="Arial"/>
                                  <w:sz w:val="18"/>
                                </w:rPr>
                                <w:t xml:space="preserve">0.0</w:t>
                              </w:r>
                            </w:p>
                          </w:txbxContent>
                        </v:textbox>
                      </v:rect>
                    </v:group>
                  </w:pict>
                </mc:Fallback>
              </mc:AlternateContent>
            </w:r>
          </w:p>
        </w:tc>
      </w:tr>
    </w:tbl>
    <w:p w14:paraId="754D5732" w14:textId="77777777" w:rsidR="006F0DDB" w:rsidRDefault="00000000">
      <w:pPr>
        <w:ind w:left="5" w:right="101" w:firstLine="0"/>
      </w:pPr>
      <w:r>
        <w:t>The mean age of participants was 76.1 years (</w:t>
      </w:r>
      <w:r>
        <w:rPr>
          <w:i/>
        </w:rPr>
        <w:t>SD</w:t>
      </w:r>
      <w:r>
        <w:t xml:space="preserve"> 12.2, range 38 to 95) and 69.5 years (</w:t>
      </w:r>
      <w:r>
        <w:rPr>
          <w:i/>
        </w:rPr>
        <w:t>SD</w:t>
      </w:r>
      <w:r>
        <w:t xml:space="preserve"> 17.5, range 19 to 99) for the United Kingdom and United States, res pectively. Most participants were male (72% overall: 74% UK, 69% USA) (Table 2).  </w:t>
      </w:r>
    </w:p>
    <w:p w14:paraId="33171E17" w14:textId="77777777" w:rsidR="006F0DDB" w:rsidRDefault="00000000">
      <w:pPr>
        <w:ind w:left="5" w:right="101"/>
      </w:pPr>
      <w:r>
        <w:t xml:space="preserve">Most participants were using a urethral catheter (66% urethral versus 34% suprapubic), but this varied by country (92% urethral in the UK versus 30% urethral in the USA). The most common reason for having an IUC in both countries was urinary retention/incomplete bladder emptying (42%: 61% UK, 33% USA), but this information was often not available. Most commonly, participants in the United States had been using a long-term IUC for 1 to 2 years (33%), whereas in the United King dom, 5 to 10 years was the most common duration (24%).  </w:t>
      </w:r>
    </w:p>
    <w:p w14:paraId="18EA14D3" w14:textId="77777777" w:rsidR="006F0DDB" w:rsidRDefault="00000000">
      <w:pPr>
        <w:ind w:left="5" w:right="5"/>
      </w:pPr>
      <w:r>
        <w:t xml:space="preserve">The number of CAUTIs in the last 12-months for people with IUC or suprapubic catheters reporting symptoms compatible with UTI and prescribed an antibiotic was significantly higher in participants in the United States (median = 2/range = 0 to 12 USA versus median = 1/range 0 to 5 UK, MWU </w:t>
      </w:r>
      <w:r>
        <w:rPr>
          <w:i/>
        </w:rPr>
        <w:t>z</w:t>
      </w:r>
      <w:r>
        <w:t xml:space="preserve"> = -5.062, </w:t>
      </w:r>
      <w:r>
        <w:rPr>
          <w:i/>
        </w:rPr>
        <w:t>p</w:t>
      </w:r>
      <w:r>
        <w:t xml:space="preserve"> &lt; 0.001) (Figure 1). In the USA site, participants with suprapubic catheters were often prescribed prophylactic antibiotics the </w:t>
      </w:r>
      <w:r>
        <w:lastRenderedPageBreak/>
        <w:t xml:space="preserve">day of the catheter replacement. The number of catheter changes in the last 12-months was significantly higher for USA versus UK participants (median 11/range 1-11 USA versus median = 5/range 2-13 UK, MWU </w:t>
      </w:r>
      <w:r>
        <w:rPr>
          <w:i/>
        </w:rPr>
        <w:t>z</w:t>
      </w:r>
      <w:r>
        <w:t xml:space="preserve"> = -6.051, </w:t>
      </w:r>
      <w:r>
        <w:rPr>
          <w:i/>
        </w:rPr>
        <w:t>p</w:t>
      </w:r>
      <w:r>
        <w:t xml:space="preserve"> &lt; 0.001) (Figure 2).  </w:t>
      </w:r>
    </w:p>
    <w:tbl>
      <w:tblPr>
        <w:tblStyle w:val="TableGrid"/>
        <w:tblpPr w:vertAnchor="text" w:horzAnchor="margin" w:tblpY="422"/>
        <w:tblOverlap w:val="never"/>
        <w:tblW w:w="9823" w:type="dxa"/>
        <w:tblInd w:w="0" w:type="dxa"/>
        <w:tblCellMar>
          <w:top w:w="0" w:type="dxa"/>
          <w:left w:w="0" w:type="dxa"/>
          <w:bottom w:w="0" w:type="dxa"/>
          <w:right w:w="31" w:type="dxa"/>
        </w:tblCellMar>
        <w:tblLook w:val="04A0" w:firstRow="1" w:lastRow="0" w:firstColumn="1" w:lastColumn="0" w:noHBand="0" w:noVBand="1"/>
      </w:tblPr>
      <w:tblGrid>
        <w:gridCol w:w="9823"/>
      </w:tblGrid>
      <w:tr w:rsidR="006F0DDB" w14:paraId="5E6EB20B" w14:textId="77777777">
        <w:trPr>
          <w:trHeight w:val="622"/>
        </w:trPr>
        <w:tc>
          <w:tcPr>
            <w:tcW w:w="7592" w:type="dxa"/>
            <w:tcBorders>
              <w:top w:val="nil"/>
              <w:left w:val="nil"/>
              <w:bottom w:val="nil"/>
              <w:right w:val="nil"/>
            </w:tcBorders>
          </w:tcPr>
          <w:p w14:paraId="672DAC88" w14:textId="77777777" w:rsidR="006F0DDB" w:rsidRDefault="00000000">
            <w:pPr>
              <w:spacing w:after="0" w:line="259" w:lineRule="auto"/>
              <w:ind w:left="1" w:right="0" w:firstLine="0"/>
              <w:jc w:val="center"/>
            </w:pPr>
            <w:r>
              <w:rPr>
                <w:rFonts w:ascii="Arial" w:eastAsia="Arial" w:hAnsi="Arial" w:cs="Arial"/>
              </w:rPr>
              <w:t xml:space="preserve">Figure 3.  </w:t>
            </w:r>
          </w:p>
          <w:p w14:paraId="5E40BAFD" w14:textId="77777777" w:rsidR="006F0DDB" w:rsidRDefault="00000000">
            <w:pPr>
              <w:spacing w:after="0" w:line="259" w:lineRule="auto"/>
              <w:ind w:left="1156" w:right="0" w:firstLine="0"/>
            </w:pPr>
            <w:r>
              <w:rPr>
                <w:rFonts w:ascii="Arial" w:eastAsia="Arial" w:hAnsi="Arial" w:cs="Arial"/>
              </w:rPr>
              <w:t xml:space="preserve">International Consultation on Incontinence Questionnaire – Long-Term Catheter  </w:t>
            </w:r>
          </w:p>
          <w:p w14:paraId="74527717" w14:textId="77777777" w:rsidR="006F0DDB" w:rsidRDefault="00000000">
            <w:pPr>
              <w:spacing w:after="0" w:line="259" w:lineRule="auto"/>
              <w:ind w:left="1" w:right="0" w:firstLine="0"/>
              <w:jc w:val="center"/>
            </w:pPr>
            <w:r>
              <w:rPr>
                <w:rFonts w:ascii="Arial" w:eastAsia="Arial" w:hAnsi="Arial" w:cs="Arial"/>
              </w:rPr>
              <w:t>Quality of Life (ICIQ-LTCqol) Function Score</w:t>
            </w:r>
          </w:p>
          <w:p w14:paraId="1AAF9EE0" w14:textId="77777777" w:rsidR="006F0DDB" w:rsidRDefault="00000000">
            <w:pPr>
              <w:spacing w:after="0" w:line="259" w:lineRule="auto"/>
              <w:ind w:left="0" w:right="0" w:firstLine="0"/>
              <w:jc w:val="left"/>
            </w:pPr>
            <w:r>
              <w:rPr>
                <w:noProof/>
              </w:rPr>
              <w:drawing>
                <wp:inline distT="0" distB="0" distL="0" distR="0" wp14:anchorId="1BBB6A44" wp14:editId="7FE884F9">
                  <wp:extent cx="6217921" cy="4306824"/>
                  <wp:effectExtent l="0" t="0" r="0" b="0"/>
                  <wp:docPr id="38408" name="Picture 38408"/>
                  <wp:cNvGraphicFramePr/>
                  <a:graphic xmlns:a="http://schemas.openxmlformats.org/drawingml/2006/main">
                    <a:graphicData uri="http://schemas.openxmlformats.org/drawingml/2006/picture">
                      <pic:pic xmlns:pic="http://schemas.openxmlformats.org/drawingml/2006/picture">
                        <pic:nvPicPr>
                          <pic:cNvPr id="38408" name="Picture 38408"/>
                          <pic:cNvPicPr/>
                        </pic:nvPicPr>
                        <pic:blipFill>
                          <a:blip r:embed="rId13"/>
                          <a:stretch>
                            <a:fillRect/>
                          </a:stretch>
                        </pic:blipFill>
                        <pic:spPr>
                          <a:xfrm>
                            <a:off x="0" y="0"/>
                            <a:ext cx="6217921" cy="4306824"/>
                          </a:xfrm>
                          <a:prstGeom prst="rect">
                            <a:avLst/>
                          </a:prstGeom>
                        </pic:spPr>
                      </pic:pic>
                    </a:graphicData>
                  </a:graphic>
                </wp:inline>
              </w:drawing>
            </w:r>
          </w:p>
        </w:tc>
      </w:tr>
    </w:tbl>
    <w:p w14:paraId="57B13273" w14:textId="77777777" w:rsidR="006F0DDB" w:rsidRDefault="00000000">
      <w:pPr>
        <w:ind w:left="5" w:right="5"/>
      </w:pPr>
      <w:r>
        <w:t xml:space="preserve">Catheter sizes ranged from 12 to 30 Fr. The most common size of catheter used in the United States was 16 Fr, for both urethral (18/34, 52.9%) and suprapubic catheters (22/62, 39%). In the United Kingdom, 12 Fr was the most common size for urethral catheter (52/88, 59.1%) and 16 Fr suprapubic (3/5, 60.0%) (Table 2). There was a statistically significant trend toward larger catheters in the United States (12Fr vs 14Fr or greater, Chi-square = 36.26, </w:t>
      </w:r>
      <w:r>
        <w:rPr>
          <w:i/>
        </w:rPr>
        <w:t>df</w:t>
      </w:r>
      <w:r>
        <w:t xml:space="preserve"> = 1, </w:t>
      </w:r>
      <w:r>
        <w:rPr>
          <w:i/>
        </w:rPr>
        <w:t>p</w:t>
      </w:r>
      <w:r>
        <w:t xml:space="preserve"> &lt; 0.001). </w:t>
      </w:r>
    </w:p>
    <w:p w14:paraId="43E9598B" w14:textId="77777777" w:rsidR="006F0DDB" w:rsidRDefault="00000000">
      <w:pPr>
        <w:ind w:left="5" w:right="5"/>
      </w:pPr>
      <w:r>
        <w:t xml:space="preserve">Over 60% of participants (104/163, 63.8%, </w:t>
      </w:r>
      <w:r>
        <w:rPr>
          <w:i/>
        </w:rPr>
        <w:t>n</w:t>
      </w:r>
      <w:r>
        <w:t xml:space="preserve"> = 27 missing reason) had a change of catheter at some point due to a catheter problem (e.g., CAUTI), while the remainder had exclusively routine catheter changes (59/163, 36.2%). Exclusive routine catheter changes were more common in the United States than in the United Kingdom (43/80 [53.8%] versus 16/83 [19.3%], Chi-square = 20.96, </w:t>
      </w:r>
      <w:r>
        <w:rPr>
          <w:i/>
        </w:rPr>
        <w:t>df</w:t>
      </w:r>
      <w:r>
        <w:t xml:space="preserve"> = 1, </w:t>
      </w:r>
      <w:r>
        <w:rPr>
          <w:i/>
        </w:rPr>
        <w:t>p</w:t>
      </w:r>
      <w:r>
        <w:t xml:space="preserve"> &lt; 0.001). Blockage/ bypassing was a common reason for catheter change, for example, focusing on the first catheter </w:t>
      </w:r>
      <w:r>
        <w:t xml:space="preserve">change; this was the reason given for 6% (5/80) and 29% (24/83) of USA and UK participants, respectively. The reason for catheter change was often not available: 11% (10/93) UK and 18% (17/97) USA.  </w:t>
      </w:r>
    </w:p>
    <w:p w14:paraId="6A1CF552" w14:textId="77777777" w:rsidR="006F0DDB" w:rsidRDefault="00000000">
      <w:pPr>
        <w:ind w:left="5" w:right="5"/>
      </w:pPr>
      <w:r>
        <w:t xml:space="preserve">Two ICIQ-LTCqol domain scores were compared between countries: catheter function and concern score (Figure 3) and lifestyle impact score (Figure 4). The catheter function score was significantly worse in UK versus USA participants (median 16 versus 13, MWU </w:t>
      </w:r>
      <w:r>
        <w:rPr>
          <w:i/>
        </w:rPr>
        <w:t>z</w:t>
      </w:r>
      <w:r>
        <w:t xml:space="preserve"> = -2.107, </w:t>
      </w:r>
      <w:r>
        <w:rPr>
          <w:i/>
        </w:rPr>
        <w:t>p</w:t>
      </w:r>
      <w:r>
        <w:t xml:space="preserve"> = 0.035), but there was no significant difference in lifestyle impact score between countries (median 9 versus 8, MWU</w:t>
      </w:r>
      <w:r>
        <w:rPr>
          <w:i/>
        </w:rPr>
        <w:t xml:space="preserve"> z</w:t>
      </w:r>
      <w:r>
        <w:t xml:space="preserve"> = -1.189, </w:t>
      </w:r>
      <w:r>
        <w:rPr>
          <w:i/>
        </w:rPr>
        <w:t>p</w:t>
      </w:r>
      <w:r>
        <w:t xml:space="preserve"> = 0.235).  </w:t>
      </w:r>
    </w:p>
    <w:p w14:paraId="73FC4418" w14:textId="77777777" w:rsidR="006F0DDB" w:rsidRDefault="00000000">
      <w:pPr>
        <w:spacing w:after="90" w:line="259" w:lineRule="auto"/>
        <w:ind w:left="360" w:right="0" w:firstLine="0"/>
        <w:jc w:val="left"/>
      </w:pPr>
      <w:r>
        <w:t xml:space="preserve">  </w:t>
      </w:r>
    </w:p>
    <w:p w14:paraId="2FCD4FD8" w14:textId="77777777" w:rsidR="006F0DDB" w:rsidRDefault="00000000">
      <w:pPr>
        <w:pStyle w:val="Heading2"/>
        <w:ind w:left="15"/>
      </w:pPr>
      <w:r>
        <w:t xml:space="preserve">Discussion </w:t>
      </w:r>
    </w:p>
    <w:p w14:paraId="727CE682" w14:textId="77777777" w:rsidR="006F0DDB" w:rsidRDefault="00000000">
      <w:pPr>
        <w:spacing w:after="73"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16422F3C" wp14:editId="041ABE22">
                <wp:extent cx="2965450" cy="25400"/>
                <wp:effectExtent l="0" t="0" r="0" b="0"/>
                <wp:docPr id="38109" name="Group 38109"/>
                <wp:cNvGraphicFramePr/>
                <a:graphic xmlns:a="http://schemas.openxmlformats.org/drawingml/2006/main">
                  <a:graphicData uri="http://schemas.microsoft.com/office/word/2010/wordprocessingGroup">
                    <wpg:wgp>
                      <wpg:cNvGrpSpPr/>
                      <wpg:grpSpPr>
                        <a:xfrm>
                          <a:off x="0" y="0"/>
                          <a:ext cx="2965450" cy="25400"/>
                          <a:chOff x="0" y="0"/>
                          <a:chExt cx="2965450" cy="25400"/>
                        </a:xfrm>
                      </wpg:grpSpPr>
                      <wps:wsp>
                        <wps:cNvPr id="2204" name="Shape 2204"/>
                        <wps:cNvSpPr/>
                        <wps:spPr>
                          <a:xfrm>
                            <a:off x="0" y="0"/>
                            <a:ext cx="2965450" cy="0"/>
                          </a:xfrm>
                          <a:custGeom>
                            <a:avLst/>
                            <a:gdLst/>
                            <a:ahLst/>
                            <a:cxnLst/>
                            <a:rect l="0" t="0" r="0" b="0"/>
                            <a:pathLst>
                              <a:path w="2965450">
                                <a:moveTo>
                                  <a:pt x="0" y="0"/>
                                </a:moveTo>
                                <a:lnTo>
                                  <a:pt x="2965450" y="0"/>
                                </a:lnTo>
                              </a:path>
                            </a:pathLst>
                          </a:custGeom>
                          <a:ln w="25400" cap="flat">
                            <a:miter lim="127000"/>
                          </a:ln>
                        </wps:spPr>
                        <wps:style>
                          <a:lnRef idx="1">
                            <a:srgbClr val="9F8CB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8109" style="width:233.5pt;height:2pt;mso-position-horizontal-relative:char;mso-position-vertical-relative:line" coordsize="29654,254">
                <v:shape id="Shape 2204" style="position:absolute;width:29654;height:0;left:0;top:0;" coordsize="2965450,0" path="m0,0l2965450,0">
                  <v:stroke weight="2pt" endcap="flat" joinstyle="miter" miterlimit="10" on="true" color="#9f8cb9"/>
                  <v:fill on="false" color="#000000" opacity="0"/>
                </v:shape>
              </v:group>
            </w:pict>
          </mc:Fallback>
        </mc:AlternateContent>
      </w:r>
    </w:p>
    <w:p w14:paraId="3CA40FA6" w14:textId="77777777" w:rsidR="006F0DDB" w:rsidRDefault="00000000">
      <w:pPr>
        <w:ind w:left="5" w:right="5"/>
      </w:pPr>
      <w:r>
        <w:t xml:space="preserve">We recruited almost 200 long-term IUC users from community-dwelling men and women in the United Kingdom and the United States. We believe this is the first study to investigate and compare the QoL of longterm IUC users across two countries using different catheter management guidelines. Our findings add to the limited </w:t>
      </w:r>
      <w:r>
        <w:lastRenderedPageBreak/>
        <w:t xml:space="preserve">evidence regarding international long-term IUC catheter care and the impact on patients’ lives.   </w:t>
      </w:r>
    </w:p>
    <w:tbl>
      <w:tblPr>
        <w:tblStyle w:val="TableGrid"/>
        <w:tblpPr w:vertAnchor="text" w:horzAnchor="margin" w:tblpY="422"/>
        <w:tblOverlap w:val="never"/>
        <w:tblW w:w="9823" w:type="dxa"/>
        <w:tblInd w:w="0" w:type="dxa"/>
        <w:tblCellMar>
          <w:top w:w="0" w:type="dxa"/>
          <w:left w:w="0" w:type="dxa"/>
          <w:bottom w:w="0" w:type="dxa"/>
          <w:right w:w="31" w:type="dxa"/>
        </w:tblCellMar>
        <w:tblLook w:val="04A0" w:firstRow="1" w:lastRow="0" w:firstColumn="1" w:lastColumn="0" w:noHBand="0" w:noVBand="1"/>
      </w:tblPr>
      <w:tblGrid>
        <w:gridCol w:w="9823"/>
      </w:tblGrid>
      <w:tr w:rsidR="006F0DDB" w14:paraId="31E28B77" w14:textId="77777777">
        <w:trPr>
          <w:trHeight w:val="622"/>
        </w:trPr>
        <w:tc>
          <w:tcPr>
            <w:tcW w:w="7541" w:type="dxa"/>
            <w:tcBorders>
              <w:top w:val="nil"/>
              <w:left w:val="nil"/>
              <w:bottom w:val="nil"/>
              <w:right w:val="nil"/>
            </w:tcBorders>
          </w:tcPr>
          <w:p w14:paraId="7CF9280C" w14:textId="77777777" w:rsidR="006F0DDB" w:rsidRDefault="00000000">
            <w:pPr>
              <w:spacing w:after="0" w:line="259" w:lineRule="auto"/>
              <w:ind w:left="1" w:right="0" w:firstLine="0"/>
              <w:jc w:val="center"/>
            </w:pPr>
            <w:r>
              <w:rPr>
                <w:rFonts w:ascii="Arial" w:eastAsia="Arial" w:hAnsi="Arial" w:cs="Arial"/>
              </w:rPr>
              <w:t xml:space="preserve">Figure 4.  </w:t>
            </w:r>
          </w:p>
          <w:p w14:paraId="7D823EE7" w14:textId="77777777" w:rsidR="006F0DDB" w:rsidRDefault="00000000">
            <w:pPr>
              <w:spacing w:after="0" w:line="259" w:lineRule="auto"/>
              <w:ind w:left="1182" w:right="0" w:firstLine="0"/>
            </w:pPr>
            <w:r>
              <w:rPr>
                <w:rFonts w:ascii="Arial" w:eastAsia="Arial" w:hAnsi="Arial" w:cs="Arial"/>
              </w:rPr>
              <w:t xml:space="preserve">International Consultation on Incontinence Questionnaire – Long-term Catheter  </w:t>
            </w:r>
          </w:p>
          <w:p w14:paraId="08B42F83" w14:textId="77777777" w:rsidR="006F0DDB" w:rsidRDefault="00000000">
            <w:pPr>
              <w:spacing w:after="0" w:line="259" w:lineRule="auto"/>
              <w:ind w:left="1" w:right="0" w:firstLine="0"/>
              <w:jc w:val="center"/>
            </w:pPr>
            <w:r>
              <w:rPr>
                <w:rFonts w:ascii="Arial" w:eastAsia="Arial" w:hAnsi="Arial" w:cs="Arial"/>
              </w:rPr>
              <w:t>Quality of Life (ICIQ-LTCqol) Lifestyle Impact Score</w:t>
            </w:r>
          </w:p>
          <w:p w14:paraId="038F775B" w14:textId="77777777" w:rsidR="006F0DDB" w:rsidRDefault="00000000">
            <w:pPr>
              <w:spacing w:after="0" w:line="259" w:lineRule="auto"/>
              <w:ind w:left="0" w:right="0" w:firstLine="0"/>
              <w:jc w:val="left"/>
            </w:pPr>
            <w:r>
              <w:rPr>
                <w:noProof/>
              </w:rPr>
              <w:drawing>
                <wp:inline distT="0" distB="0" distL="0" distR="0" wp14:anchorId="10FCCDB6" wp14:editId="4D6C6ACD">
                  <wp:extent cx="6217921" cy="4306824"/>
                  <wp:effectExtent l="0" t="0" r="0" b="0"/>
                  <wp:docPr id="38410" name="Picture 38410"/>
                  <wp:cNvGraphicFramePr/>
                  <a:graphic xmlns:a="http://schemas.openxmlformats.org/drawingml/2006/main">
                    <a:graphicData uri="http://schemas.openxmlformats.org/drawingml/2006/picture">
                      <pic:pic xmlns:pic="http://schemas.openxmlformats.org/drawingml/2006/picture">
                        <pic:nvPicPr>
                          <pic:cNvPr id="38410" name="Picture 38410"/>
                          <pic:cNvPicPr/>
                        </pic:nvPicPr>
                        <pic:blipFill>
                          <a:blip r:embed="rId14"/>
                          <a:stretch>
                            <a:fillRect/>
                          </a:stretch>
                        </pic:blipFill>
                        <pic:spPr>
                          <a:xfrm>
                            <a:off x="0" y="0"/>
                            <a:ext cx="6217921" cy="4306824"/>
                          </a:xfrm>
                          <a:prstGeom prst="rect">
                            <a:avLst/>
                          </a:prstGeom>
                        </pic:spPr>
                      </pic:pic>
                    </a:graphicData>
                  </a:graphic>
                </wp:inline>
              </w:drawing>
            </w:r>
          </w:p>
        </w:tc>
      </w:tr>
    </w:tbl>
    <w:p w14:paraId="5B0D30EA" w14:textId="77777777" w:rsidR="006F0DDB" w:rsidRDefault="00000000">
      <w:pPr>
        <w:ind w:left="5" w:right="5"/>
      </w:pPr>
      <w:r>
        <w:t xml:space="preserve">The higher prevalence of catheter </w:t>
      </w:r>
      <w:proofErr w:type="gramStart"/>
      <w:r>
        <w:t>use</w:t>
      </w:r>
      <w:proofErr w:type="gramEnd"/>
      <w:r>
        <w:t xml:space="preserve"> among men (72% overall, 74% UK, 69% USA) is similar to that reported by Prieto and colleagues (2020), where 76% of UK community district nurses’ catheter patients were male. Similarly, Forde and Barry (2017) noted a ratio of 2:1 male-to-female catheterized patients living at home. Shackley and colleagues (2017) contributed this higher prevalence in males, especially for the use of long-term IUCs, due to male susceptibility to prostate disease, longer urethras, and higher risk of urinary retention, especially postoperatively. In this study, the main indication for the initial long-term IUC placement was urinary retention.  </w:t>
      </w:r>
    </w:p>
    <w:p w14:paraId="241A754C" w14:textId="77777777" w:rsidR="006F0DDB" w:rsidRDefault="00000000">
      <w:pPr>
        <w:ind w:left="5" w:right="5"/>
      </w:pPr>
      <w:r>
        <w:t xml:space="preserve">Despite the CDC (2009) guidelines for prevention of CAUTIs recommending that catheters are not changed at fixed intervals, over half of USA participants had routine catheter changes exclusively. This compared to around </w:t>
      </w:r>
      <w:r>
        <w:t xml:space="preserve">20% of those in the United Kingdom, reflecting the known difference in policies in the two countries.  </w:t>
      </w:r>
    </w:p>
    <w:p w14:paraId="2612BADB" w14:textId="77777777" w:rsidR="006F0DDB" w:rsidRDefault="00000000">
      <w:pPr>
        <w:ind w:left="5" w:right="5"/>
      </w:pPr>
      <w:r>
        <w:t xml:space="preserve">The size of the catheter used differed between the countries; size inserted was larger in the United States than in the United Kingdom. Differences in catheter size may be a consequence of the differing policies in the two countries. In the United Kingdom, routine catheter sizes for adult male and female patients are 12 Fr, 14 Fr and 16 Fr. In the United States, most experts recommend using the smallest size catheter, which allows for adequate bladder drainage (Averch et al., 2015; Newman, 2017; Newman et al., 2018). For participants with a suprapubic catheter, no less than a size 16 Fr catheter should be used to avoid insertion and removal trauma (NHS Lanarkshire, 2022). In the United Kingdom, most community nurses will start with the smallest catheter and increase size based on advice from urology. However, with the smallest catheter size </w:t>
      </w:r>
      <w:r>
        <w:rPr>
          <w:i/>
        </w:rPr>
        <w:t>in-situ</w:t>
      </w:r>
      <w:r>
        <w:t xml:space="preserve">, </w:t>
      </w:r>
      <w:r>
        <w:lastRenderedPageBreak/>
        <w:t xml:space="preserve">there is a potential for increased urine bypassing, whereby QoL may be impacted.  </w:t>
      </w:r>
    </w:p>
    <w:p w14:paraId="379719A8" w14:textId="77777777" w:rsidR="006F0DDB" w:rsidRDefault="00000000">
      <w:pPr>
        <w:ind w:left="5" w:right="5"/>
      </w:pPr>
      <w:r>
        <w:t xml:space="preserve">QoL related to catheter function was worse in UK participants; however, QoL related to life impact of the catheter was comparable in the two countries. Reasons for the first catheter change showed that in the United Kingdom, participants experienced more catheter blockage compared to participants from the United States. Formation of encrustations on the inner and outer surfaces of the catheter are very common, with nearly half of all people with an indwelling catheter experiencing problems with blockages (Shepherd et al., 2017). In our study, CAUTIs were more common in the </w:t>
      </w:r>
    </w:p>
    <w:p w14:paraId="3AC0216A" w14:textId="77777777" w:rsidR="006F0DDB" w:rsidRDefault="00000000">
      <w:pPr>
        <w:ind w:left="5" w:right="5" w:firstLine="0"/>
      </w:pPr>
      <w:r>
        <w:t xml:space="preserve">United States than the United Kingdom (median = </w:t>
      </w:r>
    </w:p>
    <w:p w14:paraId="77CEC21C" w14:textId="77777777" w:rsidR="006F0DDB" w:rsidRDefault="00000000">
      <w:pPr>
        <w:ind w:left="5" w:right="5" w:firstLine="0"/>
      </w:pPr>
      <w:r>
        <w:t xml:space="preserve">2/range 0 to 12 USA versus median = 1/range 0 to 5 UK, MWU </w:t>
      </w:r>
      <w:r>
        <w:rPr>
          <w:i/>
        </w:rPr>
        <w:t>z</w:t>
      </w:r>
      <w:r>
        <w:t xml:space="preserve"> = -5.062, </w:t>
      </w:r>
      <w:r>
        <w:rPr>
          <w:i/>
        </w:rPr>
        <w:t>p</w:t>
      </w:r>
      <w:r>
        <w:t xml:space="preserve"> &lt; 0.001). Possible reasons (e.g., environment) driving this difference are difficult to determine.  </w:t>
      </w:r>
    </w:p>
    <w:p w14:paraId="51F9ADDF" w14:textId="77777777" w:rsidR="006F0DDB" w:rsidRDefault="00000000">
      <w:pPr>
        <w:ind w:left="5" w:right="5"/>
      </w:pPr>
      <w:r>
        <w:t xml:space="preserve">Despite their being insufficient high-quality evi dence to suggest that the use of antibiotics at the time of catheter replacement helps reduce infection (Cooper et al., 2016), prophylactic antibiotics were often </w:t>
      </w:r>
      <w:proofErr w:type="gramStart"/>
      <w:r>
        <w:t>pre scribed</w:t>
      </w:r>
      <w:proofErr w:type="gramEnd"/>
      <w:r>
        <w:t xml:space="preserve"> in the United States during suprapubic catheter change. Although there is no evidence to suggest a positive effect of antibiotic use, this may have provided some UTI protection; however, in this study, more infections were treated in the United States despite prophylaxis. Catheters in the United States were also changed more regularly, presumably to help reduce chances of buildup of bacterial and fungal colonization, an effect noted by Singh and colleagues (2010) when catheters were changed every three weeks. But it was difficult to determine if the more regular catheter changes were the normal practice or if catheter changes were impacted by SARS-CoV-2 restrictions. Therefore, the drivers of the higher CAUTIs observed in the USA study population when compared those in the UK study population will require further investigation. </w:t>
      </w:r>
    </w:p>
    <w:p w14:paraId="72902E08" w14:textId="77777777" w:rsidR="006F0DDB" w:rsidRDefault="00000000">
      <w:pPr>
        <w:ind w:left="5" w:right="5"/>
      </w:pPr>
      <w:r>
        <w:t xml:space="preserve">Differences in the incidence of catheter blockage (UK = 11% [10/93]; USA = 6% [5/80]) may have been driven in part by urinary catheter change policies, specifically, a standard of care for shorter time to change in the United States compared to the United Kingdom. Future research should address the evidence for </w:t>
      </w:r>
      <w:proofErr w:type="gramStart"/>
      <w:r>
        <w:t>more or less frequent</w:t>
      </w:r>
      <w:proofErr w:type="gramEnd"/>
      <w:r>
        <w:t xml:space="preserve">, planned IUC changes, and if appropriate, updated UK and/or USA guideline recommendations.  </w:t>
      </w:r>
    </w:p>
    <w:p w14:paraId="2042E9EF" w14:textId="77777777" w:rsidR="006F0DDB" w:rsidRDefault="00000000">
      <w:pPr>
        <w:ind w:left="5" w:right="5"/>
      </w:pPr>
      <w:r>
        <w:t xml:space="preserve">Our findings provide a critical first step in des cribing nursing practices and patient-related </w:t>
      </w:r>
      <w:proofErr w:type="gramStart"/>
      <w:r>
        <w:t>out comes</w:t>
      </w:r>
      <w:proofErr w:type="gramEnd"/>
      <w:r>
        <w:t xml:space="preserve"> of longterm IUC use in the United Kingdom and United States. Differences in key health outcomes, such as UTI incidence and IUC blockage, highlight the need for additional studies. We recommend a continued focus on learning from international urologic nursing colleagues to foster best practices for catheter care and education, support studies of larger sample sizes, and build on the findings reported in this study. </w:t>
      </w:r>
    </w:p>
    <w:p w14:paraId="42154792" w14:textId="77777777" w:rsidR="006F0DDB" w:rsidRDefault="00000000">
      <w:pPr>
        <w:spacing w:after="90" w:line="259" w:lineRule="auto"/>
        <w:ind w:left="380" w:right="0" w:firstLine="0"/>
        <w:jc w:val="left"/>
      </w:pPr>
      <w:r>
        <w:t xml:space="preserve"> </w:t>
      </w:r>
    </w:p>
    <w:p w14:paraId="45678C66" w14:textId="77777777" w:rsidR="006F0DDB" w:rsidRDefault="00000000">
      <w:pPr>
        <w:pStyle w:val="Heading2"/>
        <w:ind w:left="15"/>
      </w:pPr>
      <w:r>
        <w:t xml:space="preserve">Limitations </w:t>
      </w:r>
    </w:p>
    <w:p w14:paraId="3081EF29" w14:textId="77777777" w:rsidR="006F0DDB" w:rsidRDefault="00000000">
      <w:pPr>
        <w:spacing w:after="73" w:line="259" w:lineRule="auto"/>
        <w:ind w:right="0" w:firstLine="0"/>
        <w:jc w:val="left"/>
      </w:pPr>
      <w:r>
        <w:rPr>
          <w:rFonts w:ascii="Calibri" w:eastAsia="Calibri" w:hAnsi="Calibri" w:cs="Calibri"/>
          <w:noProof/>
          <w:color w:val="000000"/>
          <w:sz w:val="22"/>
        </w:rPr>
        <mc:AlternateContent>
          <mc:Choice Requires="wpg">
            <w:drawing>
              <wp:inline distT="0" distB="0" distL="0" distR="0" wp14:anchorId="534A1057" wp14:editId="5B61B996">
                <wp:extent cx="2965450" cy="25400"/>
                <wp:effectExtent l="0" t="0" r="0" b="0"/>
                <wp:docPr id="29628" name="Group 29628"/>
                <wp:cNvGraphicFramePr/>
                <a:graphic xmlns:a="http://schemas.openxmlformats.org/drawingml/2006/main">
                  <a:graphicData uri="http://schemas.microsoft.com/office/word/2010/wordprocessingGroup">
                    <wpg:wgp>
                      <wpg:cNvGrpSpPr/>
                      <wpg:grpSpPr>
                        <a:xfrm>
                          <a:off x="0" y="0"/>
                          <a:ext cx="2965450" cy="25400"/>
                          <a:chOff x="0" y="0"/>
                          <a:chExt cx="2965450" cy="25400"/>
                        </a:xfrm>
                      </wpg:grpSpPr>
                      <wps:wsp>
                        <wps:cNvPr id="2820" name="Shape 2820"/>
                        <wps:cNvSpPr/>
                        <wps:spPr>
                          <a:xfrm>
                            <a:off x="0" y="0"/>
                            <a:ext cx="2965450" cy="0"/>
                          </a:xfrm>
                          <a:custGeom>
                            <a:avLst/>
                            <a:gdLst/>
                            <a:ahLst/>
                            <a:cxnLst/>
                            <a:rect l="0" t="0" r="0" b="0"/>
                            <a:pathLst>
                              <a:path w="2965450">
                                <a:moveTo>
                                  <a:pt x="0" y="0"/>
                                </a:moveTo>
                                <a:lnTo>
                                  <a:pt x="2965450" y="0"/>
                                </a:lnTo>
                              </a:path>
                            </a:pathLst>
                          </a:custGeom>
                          <a:ln w="25400" cap="flat">
                            <a:miter lim="127000"/>
                          </a:ln>
                        </wps:spPr>
                        <wps:style>
                          <a:lnRef idx="1">
                            <a:srgbClr val="9F8CB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628" style="width:233.5pt;height:2pt;mso-position-horizontal-relative:char;mso-position-vertical-relative:line" coordsize="29654,254">
                <v:shape id="Shape 2820" style="position:absolute;width:29654;height:0;left:0;top:0;" coordsize="2965450,0" path="m0,0l2965450,0">
                  <v:stroke weight="2pt" endcap="flat" joinstyle="miter" miterlimit="10" on="true" color="#9f8cb9"/>
                  <v:fill on="false" color="#000000" opacity="0"/>
                </v:shape>
              </v:group>
            </w:pict>
          </mc:Fallback>
        </mc:AlternateContent>
      </w:r>
    </w:p>
    <w:p w14:paraId="03C0C407" w14:textId="77777777" w:rsidR="006F0DDB" w:rsidRDefault="00000000">
      <w:pPr>
        <w:ind w:left="5" w:right="5"/>
      </w:pPr>
      <w:r>
        <w:t xml:space="preserve">The study was limited by responder bias and the number of long-term IUC participants who came from a similar ethnic group, especially in the United Kingdom, where over 86% of the participants were White (Table 2). In addition, 53.1% of participants in the United Kingdom had their catheter </w:t>
      </w:r>
      <w:r>
        <w:rPr>
          <w:i/>
        </w:rPr>
        <w:t>in-situ</w:t>
      </w:r>
      <w:r>
        <w:t xml:space="preserve"> greater than seven years. This is compared to the United States, </w:t>
      </w:r>
      <w:proofErr w:type="gramStart"/>
      <w:r>
        <w:t>where,</w:t>
      </w:r>
      <w:proofErr w:type="gramEnd"/>
      <w:r>
        <w:t xml:space="preserve"> 73.1% of participants who had their catheter</w:t>
      </w:r>
      <w:r>
        <w:rPr>
          <w:i/>
        </w:rPr>
        <w:t xml:space="preserve"> insitu</w:t>
      </w:r>
      <w:r>
        <w:t xml:space="preserve"> for less than five years, and this may have impacted results. Participants were catheterized for a variety of reasons, resulting in variation in how long-term IUCs impacted QoL, making it difficult to generalize the impact of catheterization on catheter users.  </w:t>
      </w:r>
    </w:p>
    <w:p w14:paraId="152CE2A3" w14:textId="77777777" w:rsidR="006F0DDB" w:rsidRDefault="00000000">
      <w:pPr>
        <w:spacing w:after="117"/>
        <w:ind w:left="5" w:right="5"/>
      </w:pPr>
      <w:r>
        <w:t xml:space="preserve">Another limitation was the timing of this study because it was conducted during the SARS-CoV-2 pandemic. This caused a significant intermittent pausing in participant recruitment and enrollment, especially in the home health setting. In the United States, this shifted enrollment to include recruitment of patients returning to outpatient urology for catheter changes. This likely resulted in a higher number of study participants using long-term suprapubic rather than urethral catheters, which may have led to differences in complications. Enrolling participants using suprapubic catheters can be seen as a strength because of limited information on long-term catheter management in this population; however, the high number of suprapubic catheters may not be a true representation of patients cared for by home health nurses. In addition, the SARS-CoV-2 restrictions altered routine catheter care and changing patterns in both home health and outpatient urology settings.   </w:t>
      </w:r>
    </w:p>
    <w:p w14:paraId="75FF537D" w14:textId="77777777" w:rsidR="006F0DDB" w:rsidRDefault="00000000">
      <w:pPr>
        <w:pStyle w:val="Heading2"/>
        <w:ind w:left="15"/>
      </w:pPr>
      <w:r>
        <w:t xml:space="preserve">Conclusions </w:t>
      </w:r>
    </w:p>
    <w:p w14:paraId="5F32DF2A" w14:textId="77777777" w:rsidR="006F0DDB" w:rsidRDefault="00000000">
      <w:pPr>
        <w:spacing w:after="73"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4F19A37B" wp14:editId="25A1866B">
                <wp:extent cx="2965450" cy="25400"/>
                <wp:effectExtent l="0" t="0" r="0" b="0"/>
                <wp:docPr id="29629" name="Group 29629"/>
                <wp:cNvGraphicFramePr/>
                <a:graphic xmlns:a="http://schemas.openxmlformats.org/drawingml/2006/main">
                  <a:graphicData uri="http://schemas.microsoft.com/office/word/2010/wordprocessingGroup">
                    <wpg:wgp>
                      <wpg:cNvGrpSpPr/>
                      <wpg:grpSpPr>
                        <a:xfrm>
                          <a:off x="0" y="0"/>
                          <a:ext cx="2965450" cy="25400"/>
                          <a:chOff x="0" y="0"/>
                          <a:chExt cx="2965450" cy="25400"/>
                        </a:xfrm>
                      </wpg:grpSpPr>
                      <wps:wsp>
                        <wps:cNvPr id="2897" name="Shape 2897"/>
                        <wps:cNvSpPr/>
                        <wps:spPr>
                          <a:xfrm>
                            <a:off x="0" y="0"/>
                            <a:ext cx="2965450" cy="0"/>
                          </a:xfrm>
                          <a:custGeom>
                            <a:avLst/>
                            <a:gdLst/>
                            <a:ahLst/>
                            <a:cxnLst/>
                            <a:rect l="0" t="0" r="0" b="0"/>
                            <a:pathLst>
                              <a:path w="2965450">
                                <a:moveTo>
                                  <a:pt x="0" y="0"/>
                                </a:moveTo>
                                <a:lnTo>
                                  <a:pt x="2965450" y="0"/>
                                </a:lnTo>
                              </a:path>
                            </a:pathLst>
                          </a:custGeom>
                          <a:ln w="25400" cap="flat">
                            <a:miter lim="127000"/>
                          </a:ln>
                        </wps:spPr>
                        <wps:style>
                          <a:lnRef idx="1">
                            <a:srgbClr val="9F8CB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629" style="width:233.5pt;height:2pt;mso-position-horizontal-relative:char;mso-position-vertical-relative:line" coordsize="29654,254">
                <v:shape id="Shape 2897" style="position:absolute;width:29654;height:0;left:0;top:0;" coordsize="2965450,0" path="m0,0l2965450,0">
                  <v:stroke weight="2pt" endcap="flat" joinstyle="miter" miterlimit="10" on="true" color="#9f8cb9"/>
                  <v:fill on="false" color="#000000" opacity="0"/>
                </v:shape>
              </v:group>
            </w:pict>
          </mc:Fallback>
        </mc:AlternateContent>
      </w:r>
    </w:p>
    <w:p w14:paraId="3DA838BB" w14:textId="77777777" w:rsidR="006F0DDB" w:rsidRDefault="00000000">
      <w:pPr>
        <w:ind w:left="5" w:right="5"/>
      </w:pPr>
      <w:r>
        <w:t xml:space="preserve">In the United Kingdom and United States, longterm IUC use, most often via urethral or suprapubic catheters, is common and managed by home health and urologic nurses. Patients experience challenges with catheter function and negative impacts on QoL. Similarities and differences exist between the United Kingdom and United States; therefore, additional studies from an international perspective and inclusive of a diverse patient population are needed to </w:t>
      </w:r>
      <w:proofErr w:type="gramStart"/>
      <w:r>
        <w:t>more fully characterize long-term IUC-users</w:t>
      </w:r>
      <w:proofErr w:type="gramEnd"/>
      <w:r>
        <w:t xml:space="preserve">’ needs and urologic nursing best-practices to address these problems. In addition, larger studies in home health settings are needed, but gaining access to clients may continue to be problematic. Further analysis of these data is needed to explore interactions between variables and their combined impact on </w:t>
      </w:r>
      <w:proofErr w:type="gramStart"/>
      <w:r>
        <w:t>catheter-related</w:t>
      </w:r>
      <w:proofErr w:type="gramEnd"/>
      <w:r>
        <w:t xml:space="preserve"> QoL. This international study of long-term IUCs adds to the limited evidence regarding patient perspectives of having a long-term IUC.  </w:t>
      </w:r>
    </w:p>
    <w:p w14:paraId="79953C0A" w14:textId="77777777" w:rsidR="006F0DDB" w:rsidRDefault="00000000">
      <w:pPr>
        <w:spacing w:after="90" w:line="259" w:lineRule="auto"/>
        <w:ind w:left="360" w:right="0" w:firstLine="0"/>
        <w:jc w:val="left"/>
      </w:pPr>
      <w:r>
        <w:t xml:space="preserve"> </w:t>
      </w:r>
    </w:p>
    <w:p w14:paraId="6D2D513A" w14:textId="77777777" w:rsidR="006F0DDB" w:rsidRDefault="00000000">
      <w:pPr>
        <w:pStyle w:val="Heading2"/>
        <w:ind w:left="15"/>
      </w:pPr>
      <w:r>
        <w:lastRenderedPageBreak/>
        <w:t xml:space="preserve">Nursing Implications </w:t>
      </w:r>
    </w:p>
    <w:p w14:paraId="7E92192D" w14:textId="77777777" w:rsidR="006F0DDB" w:rsidRDefault="00000000">
      <w:pPr>
        <w:spacing w:after="73"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40AE7D74" wp14:editId="010FA908">
                <wp:extent cx="2965450" cy="25400"/>
                <wp:effectExtent l="0" t="0" r="0" b="0"/>
                <wp:docPr id="29630" name="Group 29630"/>
                <wp:cNvGraphicFramePr/>
                <a:graphic xmlns:a="http://schemas.openxmlformats.org/drawingml/2006/main">
                  <a:graphicData uri="http://schemas.microsoft.com/office/word/2010/wordprocessingGroup">
                    <wpg:wgp>
                      <wpg:cNvGrpSpPr/>
                      <wpg:grpSpPr>
                        <a:xfrm>
                          <a:off x="0" y="0"/>
                          <a:ext cx="2965450" cy="25400"/>
                          <a:chOff x="0" y="0"/>
                          <a:chExt cx="2965450" cy="25400"/>
                        </a:xfrm>
                      </wpg:grpSpPr>
                      <wps:wsp>
                        <wps:cNvPr id="2938" name="Shape 2938"/>
                        <wps:cNvSpPr/>
                        <wps:spPr>
                          <a:xfrm>
                            <a:off x="0" y="0"/>
                            <a:ext cx="2965450" cy="0"/>
                          </a:xfrm>
                          <a:custGeom>
                            <a:avLst/>
                            <a:gdLst/>
                            <a:ahLst/>
                            <a:cxnLst/>
                            <a:rect l="0" t="0" r="0" b="0"/>
                            <a:pathLst>
                              <a:path w="2965450">
                                <a:moveTo>
                                  <a:pt x="0" y="0"/>
                                </a:moveTo>
                                <a:lnTo>
                                  <a:pt x="2965450" y="0"/>
                                </a:lnTo>
                              </a:path>
                            </a:pathLst>
                          </a:custGeom>
                          <a:ln w="25400" cap="flat">
                            <a:miter lim="127000"/>
                          </a:ln>
                        </wps:spPr>
                        <wps:style>
                          <a:lnRef idx="1">
                            <a:srgbClr val="9F8CB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9630" style="width:233.5pt;height:2pt;mso-position-horizontal-relative:char;mso-position-vertical-relative:line" coordsize="29654,254">
                <v:shape id="Shape 2938" style="position:absolute;width:29654;height:0;left:0;top:0;" coordsize="2965450,0" path="m0,0l2965450,0">
                  <v:stroke weight="2pt" endcap="flat" joinstyle="miter" miterlimit="10" on="true" color="#9f8cb9"/>
                  <v:fill on="false" color="#000000" opacity="0"/>
                </v:shape>
              </v:group>
            </w:pict>
          </mc:Fallback>
        </mc:AlternateContent>
      </w:r>
    </w:p>
    <w:p w14:paraId="45DCBDF8" w14:textId="77777777" w:rsidR="006F0DDB" w:rsidRDefault="00000000">
      <w:pPr>
        <w:spacing w:after="177"/>
        <w:ind w:left="5" w:right="5"/>
      </w:pPr>
      <w:r>
        <w:t xml:space="preserve">This study indicates that current practice policy impacts QoL of this population of long-term IUC users, and there is a further need to explore current nursing practices in both the United Kingdom and United States. Monitoring catheter insertion and catheterization techniques, as well as prompt IUC removal, are all essential elements for consideration by nurses caring for patients with a long-term IUC. There are indications that current practice impacts QoL of the population, and there is a further need to explore current practices widely in the United Kingdom. Any changes to practice will require a robust education rollout to all nurses involved with catheterization. Monitoring catheter in sertion and catheterization techniques, as well as prompt removal and catheter management, are all essential elements for consideration of QoL. </w:t>
      </w:r>
      <w:r>
        <w:rPr>
          <w:rFonts w:ascii="Calibri" w:eastAsia="Calibri" w:hAnsi="Calibri" w:cs="Calibri"/>
          <w:noProof/>
          <w:color w:val="000000"/>
          <w:sz w:val="22"/>
        </w:rPr>
        <mc:AlternateContent>
          <mc:Choice Requires="wpg">
            <w:drawing>
              <wp:inline distT="0" distB="0" distL="0" distR="0" wp14:anchorId="50D43BDF" wp14:editId="7909BB0B">
                <wp:extent cx="92939" cy="92939"/>
                <wp:effectExtent l="0" t="0" r="0" b="0"/>
                <wp:docPr id="34150" name="Group 34150"/>
                <wp:cNvGraphicFramePr/>
                <a:graphic xmlns:a="http://schemas.openxmlformats.org/drawingml/2006/main">
                  <a:graphicData uri="http://schemas.microsoft.com/office/word/2010/wordprocessingGroup">
                    <wpg:wgp>
                      <wpg:cNvGrpSpPr/>
                      <wpg:grpSpPr>
                        <a:xfrm>
                          <a:off x="0" y="0"/>
                          <a:ext cx="92939" cy="92939"/>
                          <a:chOff x="0" y="0"/>
                          <a:chExt cx="92939" cy="92939"/>
                        </a:xfrm>
                      </wpg:grpSpPr>
                      <wps:wsp>
                        <wps:cNvPr id="3157" name="Shape 3157"/>
                        <wps:cNvSpPr/>
                        <wps:spPr>
                          <a:xfrm>
                            <a:off x="0" y="0"/>
                            <a:ext cx="92939" cy="92939"/>
                          </a:xfrm>
                          <a:custGeom>
                            <a:avLst/>
                            <a:gdLst/>
                            <a:ahLst/>
                            <a:cxnLst/>
                            <a:rect l="0" t="0" r="0" b="0"/>
                            <a:pathLst>
                              <a:path w="92939" h="92939">
                                <a:moveTo>
                                  <a:pt x="0" y="92939"/>
                                </a:moveTo>
                                <a:lnTo>
                                  <a:pt x="92939" y="92939"/>
                                </a:lnTo>
                                <a:lnTo>
                                  <a:pt x="92939" y="0"/>
                                </a:lnTo>
                                <a:lnTo>
                                  <a:pt x="0" y="0"/>
                                </a:lnTo>
                                <a:close/>
                              </a:path>
                            </a:pathLst>
                          </a:custGeom>
                          <a:ln w="6350" cap="flat">
                            <a:miter lim="127000"/>
                          </a:ln>
                        </wps:spPr>
                        <wps:style>
                          <a:lnRef idx="1">
                            <a:srgbClr val="563C80"/>
                          </a:lnRef>
                          <a:fillRef idx="0">
                            <a:srgbClr val="000000">
                              <a:alpha val="0"/>
                            </a:srgbClr>
                          </a:fillRef>
                          <a:effectRef idx="0">
                            <a:scrgbClr r="0" g="0" b="0"/>
                          </a:effectRef>
                          <a:fontRef idx="none"/>
                        </wps:style>
                        <wps:bodyPr/>
                      </wps:wsp>
                      <wps:wsp>
                        <wps:cNvPr id="3158" name="Shape 3158"/>
                        <wps:cNvSpPr/>
                        <wps:spPr>
                          <a:xfrm>
                            <a:off x="20409" y="20333"/>
                            <a:ext cx="52108" cy="52121"/>
                          </a:xfrm>
                          <a:custGeom>
                            <a:avLst/>
                            <a:gdLst/>
                            <a:ahLst/>
                            <a:cxnLst/>
                            <a:rect l="0" t="0" r="0" b="0"/>
                            <a:pathLst>
                              <a:path w="52108" h="52121">
                                <a:moveTo>
                                  <a:pt x="26054" y="0"/>
                                </a:moveTo>
                                <a:cubicBezTo>
                                  <a:pt x="40436" y="0"/>
                                  <a:pt x="52108" y="11675"/>
                                  <a:pt x="52108" y="26060"/>
                                </a:cubicBezTo>
                                <a:cubicBezTo>
                                  <a:pt x="52108" y="40446"/>
                                  <a:pt x="40436" y="52121"/>
                                  <a:pt x="26054" y="52121"/>
                                </a:cubicBezTo>
                                <a:cubicBezTo>
                                  <a:pt x="11673" y="52121"/>
                                  <a:pt x="0" y="40446"/>
                                  <a:pt x="0" y="26060"/>
                                </a:cubicBezTo>
                                <a:cubicBezTo>
                                  <a:pt x="0" y="11675"/>
                                  <a:pt x="11673" y="0"/>
                                  <a:pt x="26054" y="0"/>
                                </a:cubicBezTo>
                                <a:close/>
                              </a:path>
                            </a:pathLst>
                          </a:custGeom>
                          <a:ln w="0" cap="flat">
                            <a:miter lim="127000"/>
                          </a:ln>
                        </wps:spPr>
                        <wps:style>
                          <a:lnRef idx="0">
                            <a:srgbClr val="000000">
                              <a:alpha val="0"/>
                            </a:srgbClr>
                          </a:lnRef>
                          <a:fillRef idx="1">
                            <a:srgbClr val="563C80"/>
                          </a:fillRef>
                          <a:effectRef idx="0">
                            <a:scrgbClr r="0" g="0" b="0"/>
                          </a:effectRef>
                          <a:fontRef idx="none"/>
                        </wps:style>
                        <wps:bodyPr/>
                      </wps:wsp>
                    </wpg:wgp>
                  </a:graphicData>
                </a:graphic>
              </wp:inline>
            </w:drawing>
          </mc:Choice>
          <mc:Fallback xmlns:a="http://schemas.openxmlformats.org/drawingml/2006/main">
            <w:pict>
              <v:group id="Group 34150" style="width:7.31799pt;height:7.31799pt;mso-position-horizontal-relative:char;mso-position-vertical-relative:line" coordsize="929,929">
                <v:shape id="Shape 3157" style="position:absolute;width:929;height:929;left:0;top:0;" coordsize="92939,92939" path="m0,92939l92939,92939l92939,0l0,0x">
                  <v:stroke weight="0.5pt" endcap="flat" joinstyle="miter" miterlimit="10" on="true" color="#563c80"/>
                  <v:fill on="false" color="#000000" opacity="0"/>
                </v:shape>
                <v:shape id="Shape 3158" style="position:absolute;width:521;height:521;left:204;top:203;" coordsize="52108,52121" path="m26054,0c40436,0,52108,11675,52108,26060c52108,40446,40436,52121,26054,52121c11673,52121,0,40446,0,26060c0,11675,11673,0,26054,0x">
                  <v:stroke weight="0pt" endcap="flat" joinstyle="miter" miterlimit="10" on="false" color="#000000" opacity="0"/>
                  <v:fill on="true" color="#563c80"/>
                </v:shape>
              </v:group>
            </w:pict>
          </mc:Fallback>
        </mc:AlternateContent>
      </w:r>
      <w:r>
        <w:t xml:space="preserve"> </w:t>
      </w:r>
    </w:p>
    <w:p w14:paraId="4070BF37" w14:textId="77777777" w:rsidR="006F0DDB" w:rsidRDefault="00000000">
      <w:pPr>
        <w:spacing w:after="0" w:line="259" w:lineRule="auto"/>
        <w:ind w:left="15" w:right="0" w:hanging="10"/>
        <w:jc w:val="left"/>
      </w:pPr>
      <w:r>
        <w:rPr>
          <w:sz w:val="18"/>
        </w:rPr>
        <w:t xml:space="preserve">References </w:t>
      </w:r>
    </w:p>
    <w:p w14:paraId="40647EF1" w14:textId="77777777" w:rsidR="006F0DDB" w:rsidRDefault="00000000">
      <w:pPr>
        <w:spacing w:line="234" w:lineRule="auto"/>
        <w:ind w:left="375" w:right="0" w:hanging="370"/>
      </w:pPr>
      <w:r>
        <w:rPr>
          <w:sz w:val="16"/>
        </w:rPr>
        <w:t xml:space="preserve">ABIM Foundation. (n.d.). </w:t>
      </w:r>
      <w:r>
        <w:rPr>
          <w:i/>
          <w:sz w:val="16"/>
        </w:rPr>
        <w:t>Choosing wisely</w:t>
      </w:r>
      <w:r>
        <w:rPr>
          <w:sz w:val="16"/>
        </w:rPr>
        <w:t xml:space="preserve">. https://www.choosingwisely. org/ </w:t>
      </w:r>
    </w:p>
    <w:p w14:paraId="6A66B4D9" w14:textId="77777777" w:rsidR="006F0DDB" w:rsidRDefault="00000000">
      <w:pPr>
        <w:spacing w:line="234" w:lineRule="auto"/>
        <w:ind w:left="375" w:right="159" w:hanging="370"/>
      </w:pPr>
      <w:r>
        <w:rPr>
          <w:sz w:val="16"/>
        </w:rPr>
        <w:t xml:space="preserve">Australian and New Zealand Urological Nurses Society. (2013). </w:t>
      </w:r>
      <w:r>
        <w:rPr>
          <w:i/>
          <w:sz w:val="16"/>
        </w:rPr>
        <w:t>Catheterisation clinical guidelines (version 2).</w:t>
      </w:r>
      <w:r>
        <w:rPr>
          <w:sz w:val="16"/>
        </w:rPr>
        <w:t xml:space="preserve"> https://www.coursehero.com/file/141610836/ANZUNS-Guidelines-Catheterisation-</w:t>
      </w:r>
    </w:p>
    <w:p w14:paraId="0134C5BF" w14:textId="77777777" w:rsidR="006F0DDB" w:rsidRDefault="00000000">
      <w:pPr>
        <w:spacing w:line="234" w:lineRule="auto"/>
        <w:ind w:left="380" w:right="0" w:firstLine="0"/>
      </w:pPr>
      <w:r>
        <w:rPr>
          <w:sz w:val="16"/>
        </w:rPr>
        <w:t xml:space="preserve">Clinical-Guidelinespdf/ </w:t>
      </w:r>
    </w:p>
    <w:p w14:paraId="6092ECDA" w14:textId="77777777" w:rsidR="006F0DDB" w:rsidRDefault="00000000">
      <w:pPr>
        <w:spacing w:line="234" w:lineRule="auto"/>
        <w:ind w:left="375" w:right="159" w:hanging="370"/>
      </w:pPr>
      <w:r>
        <w:rPr>
          <w:sz w:val="16"/>
        </w:rPr>
        <w:t xml:space="preserve">Averch, T.D., Stoffel, J., Goldman, H.B., Griebling, T., Lerner, L., Newman, D.K., &amp; Peterson, A.C. (2015). AUA white paper on catheter-associated urinary tract infections: Definitions and significance in the urological patient. </w:t>
      </w:r>
      <w:r>
        <w:rPr>
          <w:i/>
          <w:sz w:val="16"/>
        </w:rPr>
        <w:t>Urology Practice</w:t>
      </w:r>
      <w:r>
        <w:rPr>
          <w:sz w:val="16"/>
        </w:rPr>
        <w:t xml:space="preserve">, </w:t>
      </w:r>
      <w:r>
        <w:rPr>
          <w:i/>
          <w:sz w:val="16"/>
        </w:rPr>
        <w:t>2</w:t>
      </w:r>
      <w:r>
        <w:rPr>
          <w:sz w:val="16"/>
        </w:rPr>
        <w:t xml:space="preserve">(6), 321-328. https://doi.org/10.1016/j.urpr.2015.01.005 </w:t>
      </w:r>
    </w:p>
    <w:p w14:paraId="7F95576F" w14:textId="77777777" w:rsidR="006F0DDB" w:rsidRDefault="00000000">
      <w:pPr>
        <w:spacing w:line="234" w:lineRule="auto"/>
        <w:ind w:left="375" w:right="159" w:hanging="370"/>
      </w:pPr>
      <w:r>
        <w:rPr>
          <w:sz w:val="16"/>
        </w:rPr>
        <w:t xml:space="preserve">Castle, N., Engberg, J.B., Wagner, L.M., &amp; Handler, S. (2017). Resident and facility factors associated with the incidence of urinary tract infections identified in the nursing home minimum data set. </w:t>
      </w:r>
      <w:r>
        <w:rPr>
          <w:i/>
          <w:sz w:val="16"/>
        </w:rPr>
        <w:t>Journal of Applied Gerontology</w:t>
      </w:r>
      <w:r>
        <w:rPr>
          <w:sz w:val="16"/>
        </w:rPr>
        <w:t xml:space="preserve">, </w:t>
      </w:r>
      <w:r>
        <w:rPr>
          <w:i/>
          <w:sz w:val="16"/>
        </w:rPr>
        <w:t>36</w:t>
      </w:r>
      <w:r>
        <w:rPr>
          <w:sz w:val="16"/>
        </w:rPr>
        <w:t xml:space="preserve">(2), 173-194. https:// doi.org/10.1177/0733464815584666 </w:t>
      </w:r>
    </w:p>
    <w:p w14:paraId="1F484CBD" w14:textId="77777777" w:rsidR="006F0DDB" w:rsidRDefault="00000000">
      <w:pPr>
        <w:spacing w:line="234" w:lineRule="auto"/>
        <w:ind w:left="375" w:right="159" w:hanging="370"/>
      </w:pPr>
      <w:r>
        <w:rPr>
          <w:sz w:val="16"/>
        </w:rPr>
        <w:t xml:space="preserve">Centers for Disease Control and Prevention. (2009). </w:t>
      </w:r>
      <w:r>
        <w:rPr>
          <w:i/>
          <w:sz w:val="16"/>
        </w:rPr>
        <w:t>Guideline for prevention of catheter associated urinary tract infections</w:t>
      </w:r>
      <w:r>
        <w:rPr>
          <w:sz w:val="16"/>
        </w:rPr>
        <w:t xml:space="preserve">. https:// www.cdc.gov/infectioncontrol/pdf/guidelines/cauti-guidelinesH.pdf </w:t>
      </w:r>
    </w:p>
    <w:p w14:paraId="33B4BB9D" w14:textId="77777777" w:rsidR="006F0DDB" w:rsidRDefault="00000000">
      <w:pPr>
        <w:spacing w:line="234" w:lineRule="auto"/>
        <w:ind w:left="375" w:right="159" w:hanging="370"/>
      </w:pPr>
      <w:r>
        <w:rPr>
          <w:sz w:val="16"/>
        </w:rPr>
        <w:t xml:space="preserve">Cochran, S. (2007). Care of the indwelling urinary catheter. Is it evidence based? </w:t>
      </w:r>
      <w:r>
        <w:rPr>
          <w:i/>
          <w:sz w:val="16"/>
        </w:rPr>
        <w:t>Journal of Wound, Ostomy, and Continence Nursing</w:t>
      </w:r>
      <w:r>
        <w:rPr>
          <w:sz w:val="16"/>
        </w:rPr>
        <w:t xml:space="preserve">, </w:t>
      </w:r>
      <w:r>
        <w:rPr>
          <w:i/>
          <w:sz w:val="16"/>
        </w:rPr>
        <w:t>34</w:t>
      </w:r>
      <w:r>
        <w:rPr>
          <w:sz w:val="16"/>
        </w:rPr>
        <w:t xml:space="preserve">(3), 282-288. https://doi.org/10.1097/01.WON.0000270823. 37436.38 </w:t>
      </w:r>
    </w:p>
    <w:p w14:paraId="378E3E6B" w14:textId="77777777" w:rsidR="006F0DDB" w:rsidRDefault="00000000">
      <w:pPr>
        <w:spacing w:line="234" w:lineRule="auto"/>
        <w:ind w:left="375" w:right="159" w:hanging="370"/>
      </w:pPr>
      <w:r>
        <w:rPr>
          <w:sz w:val="16"/>
        </w:rPr>
        <w:t xml:space="preserve">Continence Nurses Society Australia. (2021). </w:t>
      </w:r>
      <w:r>
        <w:rPr>
          <w:i/>
          <w:sz w:val="16"/>
        </w:rPr>
        <w:t>Best practice guideline: Longterm suprapubic related care at home.</w:t>
      </w:r>
      <w:r>
        <w:rPr>
          <w:sz w:val="16"/>
        </w:rPr>
        <w:t xml:space="preserve"> https://www.consa.org.au/ images/files/Best_practice_guideline_-_Long-term_suprapubic_ catheter_realted_care_at_home.pdf </w:t>
      </w:r>
    </w:p>
    <w:p w14:paraId="66FD542D" w14:textId="77777777" w:rsidR="006F0DDB" w:rsidRDefault="00000000">
      <w:pPr>
        <w:spacing w:line="234" w:lineRule="auto"/>
        <w:ind w:left="375" w:right="159" w:hanging="370"/>
      </w:pPr>
      <w:r>
        <w:rPr>
          <w:sz w:val="16"/>
        </w:rPr>
        <w:t xml:space="preserve">Cooper, F.P.M., Alexander, C.E., Sinha, S., &amp; Omar, M.I. (2016). Policies for replacing long-term indwelling urinary catheters in adults. </w:t>
      </w:r>
      <w:r>
        <w:rPr>
          <w:i/>
          <w:sz w:val="16"/>
        </w:rPr>
        <w:t>Cochrane Database of Systematic Reviews</w:t>
      </w:r>
      <w:r>
        <w:rPr>
          <w:sz w:val="16"/>
        </w:rPr>
        <w:t xml:space="preserve">, </w:t>
      </w:r>
      <w:r>
        <w:rPr>
          <w:i/>
          <w:sz w:val="16"/>
        </w:rPr>
        <w:t>7</w:t>
      </w:r>
      <w:r>
        <w:rPr>
          <w:sz w:val="16"/>
        </w:rPr>
        <w:t xml:space="preserve">(7), CD011115. https://doi.org/10.1002/14651858.CD011115.pub2 </w:t>
      </w:r>
    </w:p>
    <w:p w14:paraId="1F93433A" w14:textId="77777777" w:rsidR="006F0DDB" w:rsidRDefault="00000000">
      <w:pPr>
        <w:spacing w:line="234" w:lineRule="auto"/>
        <w:ind w:left="375" w:right="159" w:hanging="370"/>
      </w:pPr>
      <w:r>
        <w:rPr>
          <w:sz w:val="16"/>
        </w:rPr>
        <w:t xml:space="preserve">Cottenden, A., Fader, M., Beeckman, D., Bliss, D., Buckley, B., KitsonReynolds, E., Morre, K., Nishimura, K., Ostaszkiewicz, J., Turner, D., Watson, J., &amp; Wilde, M.  (2017). Management using continence products. In L.C.P. Abrams, A. Wagg, &amp; A. Wein </w:t>
      </w:r>
    </w:p>
    <w:p w14:paraId="6F86CBBA" w14:textId="77777777" w:rsidR="006F0DDB" w:rsidRDefault="00000000">
      <w:pPr>
        <w:spacing w:line="234" w:lineRule="auto"/>
        <w:ind w:left="380" w:right="159" w:firstLine="0"/>
      </w:pPr>
      <w:r>
        <w:rPr>
          <w:sz w:val="16"/>
        </w:rPr>
        <w:t xml:space="preserve">(Eds.), </w:t>
      </w:r>
      <w:r>
        <w:rPr>
          <w:i/>
          <w:sz w:val="16"/>
        </w:rPr>
        <w:t xml:space="preserve">Incontinence: Proceedings for the 6th international Consultation on Incontinence </w:t>
      </w:r>
      <w:r>
        <w:rPr>
          <w:sz w:val="16"/>
        </w:rPr>
        <w:t xml:space="preserve">(6th ed., pp. 2303-2426). </w:t>
      </w:r>
      <w:r>
        <w:rPr>
          <w:sz w:val="16"/>
        </w:rPr>
        <w:t xml:space="preserve">International Consultation on Urological Diseases and the International Continence Society. </w:t>
      </w:r>
    </w:p>
    <w:p w14:paraId="21429F99" w14:textId="77777777" w:rsidR="006F0DDB" w:rsidRDefault="00000000">
      <w:pPr>
        <w:spacing w:line="234" w:lineRule="auto"/>
        <w:ind w:left="375" w:right="159" w:hanging="370"/>
      </w:pPr>
      <w:r>
        <w:rPr>
          <w:sz w:val="16"/>
        </w:rPr>
        <w:t xml:space="preserve">Cotterill, N., Fowler, S., Avery, M., Cottenden, A.M., Wilde, M., Long, A., &amp; Fader, M.J. (2016). Development and psychometric evaluation of the ICIQ-LTCqol: A self-report quality of life questionnaire for long-term indwelling catheter users. </w:t>
      </w:r>
      <w:r>
        <w:rPr>
          <w:i/>
          <w:sz w:val="16"/>
        </w:rPr>
        <w:t xml:space="preserve">Neuro urology Urodynamics, </w:t>
      </w:r>
    </w:p>
    <w:p w14:paraId="13F18255" w14:textId="77777777" w:rsidR="006F0DDB" w:rsidRDefault="00000000">
      <w:pPr>
        <w:spacing w:line="234" w:lineRule="auto"/>
        <w:ind w:left="380" w:right="0" w:firstLine="0"/>
      </w:pPr>
      <w:r>
        <w:rPr>
          <w:i/>
          <w:sz w:val="16"/>
        </w:rPr>
        <w:t>35</w:t>
      </w:r>
      <w:r>
        <w:rPr>
          <w:sz w:val="16"/>
        </w:rPr>
        <w:t xml:space="preserve">(3), 423-428. https://doi.org/10.1002/nau.22729 </w:t>
      </w:r>
    </w:p>
    <w:p w14:paraId="3321B0E0" w14:textId="77777777" w:rsidR="006F0DDB" w:rsidRDefault="00000000">
      <w:pPr>
        <w:spacing w:line="234" w:lineRule="auto"/>
        <w:ind w:left="375" w:right="0" w:hanging="370"/>
      </w:pPr>
      <w:r>
        <w:rPr>
          <w:sz w:val="16"/>
        </w:rPr>
        <w:t xml:space="preserve">European Association of Urology. (2023). </w:t>
      </w:r>
      <w:r>
        <w:rPr>
          <w:i/>
          <w:sz w:val="16"/>
        </w:rPr>
        <w:t>Urological infections.</w:t>
      </w:r>
      <w:r>
        <w:rPr>
          <w:sz w:val="16"/>
        </w:rPr>
        <w:t xml:space="preserve"> https:// d56bochluxqnz.cloudfront.net/documents/full-guideline/EAU-</w:t>
      </w:r>
    </w:p>
    <w:p w14:paraId="2E8B4B7B" w14:textId="77777777" w:rsidR="006F0DDB" w:rsidRDefault="00000000">
      <w:pPr>
        <w:spacing w:line="234" w:lineRule="auto"/>
        <w:ind w:left="380" w:right="0" w:firstLine="0"/>
      </w:pPr>
      <w:r>
        <w:rPr>
          <w:sz w:val="16"/>
        </w:rPr>
        <w:t xml:space="preserve">Guidelines-on-Urological-infections-2023.pdf </w:t>
      </w:r>
    </w:p>
    <w:p w14:paraId="30DB79D0" w14:textId="77777777" w:rsidR="006F0DDB" w:rsidRDefault="00000000">
      <w:pPr>
        <w:spacing w:line="234" w:lineRule="auto"/>
        <w:ind w:left="375" w:right="0" w:hanging="370"/>
      </w:pPr>
      <w:r>
        <w:rPr>
          <w:sz w:val="16"/>
        </w:rPr>
        <w:t xml:space="preserve">Feneley, R.C.L., Kunin, C.M., &amp; Stickler, D.J. (2012). An indwelling urinary catheter for the 21st century. </w:t>
      </w:r>
      <w:r>
        <w:rPr>
          <w:i/>
          <w:sz w:val="16"/>
        </w:rPr>
        <w:t>BJU International,</w:t>
      </w:r>
      <w:r>
        <w:rPr>
          <w:sz w:val="16"/>
        </w:rPr>
        <w:t xml:space="preserve"> </w:t>
      </w:r>
      <w:r>
        <w:rPr>
          <w:i/>
          <w:sz w:val="16"/>
        </w:rPr>
        <w:t>109</w:t>
      </w:r>
      <w:r>
        <w:rPr>
          <w:sz w:val="16"/>
        </w:rPr>
        <w:t xml:space="preserve">(12), </w:t>
      </w:r>
    </w:p>
    <w:p w14:paraId="6EDCE904" w14:textId="77777777" w:rsidR="006F0DDB" w:rsidRDefault="00000000">
      <w:pPr>
        <w:spacing w:line="234" w:lineRule="auto"/>
        <w:ind w:left="380" w:right="0" w:firstLine="0"/>
      </w:pPr>
      <w:r>
        <w:rPr>
          <w:sz w:val="16"/>
        </w:rPr>
        <w:t xml:space="preserve">1746-1749. https://doi.org/10.1111/j.1464-410X.2011.10753.x </w:t>
      </w:r>
    </w:p>
    <w:p w14:paraId="2BE43118" w14:textId="77777777" w:rsidR="006F0DDB" w:rsidRDefault="00000000">
      <w:pPr>
        <w:spacing w:line="234" w:lineRule="auto"/>
        <w:ind w:left="375" w:right="159" w:hanging="370"/>
      </w:pPr>
      <w:r>
        <w:rPr>
          <w:sz w:val="16"/>
        </w:rPr>
        <w:t xml:space="preserve">Forde, L., &amp; Barry, F. (2017). Point prevalence survey of indwelling urinary catheter use and appropriateness in patients </w:t>
      </w:r>
      <w:proofErr w:type="gramStart"/>
      <w:r>
        <w:rPr>
          <w:sz w:val="16"/>
        </w:rPr>
        <w:t>living  at</w:t>
      </w:r>
      <w:proofErr w:type="gramEnd"/>
      <w:r>
        <w:rPr>
          <w:sz w:val="16"/>
        </w:rPr>
        <w:t xml:space="preserve"> home and receiving a community nursing service in </w:t>
      </w:r>
    </w:p>
    <w:p w14:paraId="6C3C3C42" w14:textId="77777777" w:rsidR="006F0DDB" w:rsidRDefault="00000000">
      <w:pPr>
        <w:spacing w:line="234" w:lineRule="auto"/>
        <w:ind w:left="380" w:right="0" w:firstLine="0"/>
      </w:pPr>
      <w:r>
        <w:rPr>
          <w:sz w:val="16"/>
        </w:rPr>
        <w:t xml:space="preserve">Ireland. </w:t>
      </w:r>
      <w:r>
        <w:rPr>
          <w:i/>
          <w:sz w:val="16"/>
        </w:rPr>
        <w:t>Journal of Infection Prevention,</w:t>
      </w:r>
      <w:r>
        <w:rPr>
          <w:sz w:val="16"/>
        </w:rPr>
        <w:t xml:space="preserve"> </w:t>
      </w:r>
      <w:r>
        <w:rPr>
          <w:i/>
          <w:sz w:val="16"/>
        </w:rPr>
        <w:t>19</w:t>
      </w:r>
      <w:r>
        <w:rPr>
          <w:sz w:val="16"/>
        </w:rPr>
        <w:t xml:space="preserve">(3), 123-129. https:// doi.org/10.1177/1757177417736595 </w:t>
      </w:r>
    </w:p>
    <w:p w14:paraId="5DE0A84F" w14:textId="77777777" w:rsidR="006F0DDB" w:rsidRDefault="00000000">
      <w:pPr>
        <w:spacing w:line="234" w:lineRule="auto"/>
        <w:ind w:left="5" w:right="0" w:firstLine="0"/>
      </w:pPr>
      <w:r>
        <w:rPr>
          <w:sz w:val="16"/>
        </w:rPr>
        <w:t xml:space="preserve">Gorina, Y., Schappert, S., Bercovitz, A., Elgaddal, N., &amp; Kramarow, E. </w:t>
      </w:r>
    </w:p>
    <w:p w14:paraId="0EA5D41D" w14:textId="77777777" w:rsidR="006F0DDB" w:rsidRDefault="00000000">
      <w:pPr>
        <w:spacing w:line="234" w:lineRule="auto"/>
        <w:ind w:left="380" w:right="159" w:firstLine="0"/>
      </w:pPr>
      <w:r>
        <w:rPr>
          <w:sz w:val="16"/>
        </w:rPr>
        <w:t xml:space="preserve">(2014). Prevalence of incontinence among older Americans. </w:t>
      </w:r>
      <w:r>
        <w:rPr>
          <w:i/>
          <w:sz w:val="16"/>
        </w:rPr>
        <w:t>Vital Health Statistics,</w:t>
      </w:r>
      <w:r>
        <w:rPr>
          <w:sz w:val="16"/>
        </w:rPr>
        <w:t xml:space="preserve"> </w:t>
      </w:r>
      <w:r>
        <w:rPr>
          <w:i/>
          <w:sz w:val="16"/>
        </w:rPr>
        <w:t>3</w:t>
      </w:r>
      <w:r>
        <w:rPr>
          <w:sz w:val="16"/>
        </w:rPr>
        <w:t xml:space="preserve">(36), 1-33. https://www.cdc.gov/nchs/ data/series/sr_03/sr03_036.pdf </w:t>
      </w:r>
    </w:p>
    <w:p w14:paraId="0AC72837" w14:textId="77777777" w:rsidR="006F0DDB" w:rsidRDefault="00000000">
      <w:pPr>
        <w:spacing w:line="234" w:lineRule="auto"/>
        <w:ind w:left="5" w:right="0" w:firstLine="0"/>
      </w:pPr>
      <w:r>
        <w:rPr>
          <w:sz w:val="16"/>
        </w:rPr>
        <w:t xml:space="preserve">Gould, C.V., Umscheid, C.A., Agarwal, R.K., Kuntz, G., &amp; Pegues, </w:t>
      </w:r>
    </w:p>
    <w:p w14:paraId="155E8AFE" w14:textId="77777777" w:rsidR="006F0DDB" w:rsidRDefault="00000000">
      <w:pPr>
        <w:spacing w:line="234" w:lineRule="auto"/>
        <w:ind w:left="380" w:right="159" w:firstLine="0"/>
      </w:pPr>
      <w:r>
        <w:rPr>
          <w:sz w:val="16"/>
        </w:rPr>
        <w:t xml:space="preserve">D.A.; Healthcare Infection Control Practices Advisory Committee (HICPAC). (2009). Guideline for prevention of catheter-associated urinary tract infection. </w:t>
      </w:r>
      <w:r>
        <w:rPr>
          <w:i/>
          <w:sz w:val="16"/>
        </w:rPr>
        <w:t>Infection Control and Hospital Epidemiology</w:t>
      </w:r>
      <w:r>
        <w:rPr>
          <w:sz w:val="16"/>
        </w:rPr>
        <w:t xml:space="preserve">, </w:t>
      </w:r>
      <w:r>
        <w:rPr>
          <w:i/>
          <w:sz w:val="16"/>
        </w:rPr>
        <w:t>34</w:t>
      </w:r>
      <w:r>
        <w:rPr>
          <w:sz w:val="16"/>
        </w:rPr>
        <w:t xml:space="preserve">(4), 319-326. https://doi.org/10.1086/ 651091 </w:t>
      </w:r>
    </w:p>
    <w:p w14:paraId="6706F0E9" w14:textId="77777777" w:rsidR="006F0DDB" w:rsidRDefault="00000000">
      <w:pPr>
        <w:spacing w:line="234" w:lineRule="auto"/>
        <w:ind w:left="375" w:right="0" w:hanging="370"/>
      </w:pPr>
      <w:r>
        <w:rPr>
          <w:sz w:val="16"/>
        </w:rPr>
        <w:t xml:space="preserve">Grabe, M., Bartoletti, R., Bjerklund, Johansen T.E., Cai T., Cek, M., Koves, B., Naber, K.G., Pickard, R.S., Tenke, P., Wagenlehner, F., &amp; Wulit, B. (2023). </w:t>
      </w:r>
      <w:r>
        <w:rPr>
          <w:i/>
          <w:sz w:val="16"/>
        </w:rPr>
        <w:t>Guidelines: Urological infections</w:t>
      </w:r>
      <w:r>
        <w:rPr>
          <w:sz w:val="16"/>
        </w:rPr>
        <w:t>. https:// uroweb.org/guidelines/</w:t>
      </w:r>
      <w:proofErr w:type="gramStart"/>
      <w:r>
        <w:rPr>
          <w:sz w:val="16"/>
        </w:rPr>
        <w:t>urological-infections</w:t>
      </w:r>
      <w:proofErr w:type="gramEnd"/>
      <w:r>
        <w:rPr>
          <w:sz w:val="16"/>
        </w:rPr>
        <w:t xml:space="preserve"> </w:t>
      </w:r>
    </w:p>
    <w:p w14:paraId="10551528" w14:textId="77777777" w:rsidR="006F0DDB" w:rsidRDefault="00000000">
      <w:pPr>
        <w:spacing w:line="234" w:lineRule="auto"/>
        <w:ind w:left="375" w:right="0" w:hanging="370"/>
      </w:pPr>
      <w:r>
        <w:rPr>
          <w:sz w:val="16"/>
        </w:rPr>
        <w:t xml:space="preserve">Harrison, J.M., Dick, A.W., Madigan, E.A., Furuya, E.Y., Chastain, A.M., Shang, J. (2022). Urinary catheter policies in home healthcare agencies and hospital transfers due to urinary tract infection. </w:t>
      </w:r>
    </w:p>
    <w:p w14:paraId="2B195256" w14:textId="77777777" w:rsidR="006F0DDB" w:rsidRDefault="00000000">
      <w:pPr>
        <w:spacing w:line="234" w:lineRule="auto"/>
        <w:ind w:left="360" w:right="0" w:firstLine="0"/>
      </w:pPr>
      <w:r>
        <w:rPr>
          <w:i/>
          <w:sz w:val="16"/>
        </w:rPr>
        <w:t>American Journal of Infection Control,</w:t>
      </w:r>
      <w:r>
        <w:rPr>
          <w:sz w:val="16"/>
        </w:rPr>
        <w:t xml:space="preserve"> </w:t>
      </w:r>
      <w:r>
        <w:rPr>
          <w:i/>
          <w:sz w:val="16"/>
        </w:rPr>
        <w:t>50</w:t>
      </w:r>
      <w:r>
        <w:rPr>
          <w:sz w:val="16"/>
        </w:rPr>
        <w:t xml:space="preserve">(7), 743-748. https://doi. org/10.1016/j.ajic.2021.11.027 </w:t>
      </w:r>
    </w:p>
    <w:p w14:paraId="05786691" w14:textId="77777777" w:rsidR="006F0DDB" w:rsidRDefault="00000000">
      <w:pPr>
        <w:spacing w:line="234" w:lineRule="auto"/>
        <w:ind w:left="375" w:right="0" w:hanging="370"/>
      </w:pPr>
      <w:r>
        <w:rPr>
          <w:sz w:val="16"/>
        </w:rPr>
        <w:t xml:space="preserve">Health Protection Surveillance Centre. (2012). </w:t>
      </w:r>
      <w:r>
        <w:rPr>
          <w:i/>
          <w:sz w:val="16"/>
        </w:rPr>
        <w:t xml:space="preserve">Point prevalence survey of hospital acquired infections and antimicrobial use in European acute care hospitals – Republic of Ireland national report: November 2012. </w:t>
      </w:r>
      <w:r>
        <w:rPr>
          <w:sz w:val="16"/>
        </w:rPr>
        <w:t xml:space="preserve"> https://www.hpsc.ie/a-z/microbiologyantimicrobialresistance/ infectioncontrolandhai/surveillance/hospitalpointprevalencesur veys/2012/pps2012reportsforireland/File,</w:t>
      </w:r>
      <w:proofErr w:type="gramStart"/>
      <w:r>
        <w:rPr>
          <w:sz w:val="16"/>
        </w:rPr>
        <w:t>13788,en.pdf</w:t>
      </w:r>
      <w:proofErr w:type="gramEnd"/>
      <w:r>
        <w:rPr>
          <w:sz w:val="16"/>
        </w:rPr>
        <w:t xml:space="preserve"> </w:t>
      </w:r>
    </w:p>
    <w:p w14:paraId="77037A6D" w14:textId="77777777" w:rsidR="006F0DDB" w:rsidRDefault="00000000">
      <w:pPr>
        <w:spacing w:line="234" w:lineRule="auto"/>
        <w:ind w:left="375" w:right="0" w:hanging="370"/>
      </w:pPr>
      <w:r>
        <w:rPr>
          <w:sz w:val="16"/>
        </w:rPr>
        <w:t xml:space="preserve">Hollingsworth, J.M., Rogers, M.A.M., Krein, S.L., Hickner, A., Kuhn, L., Cheng, A., Chang, R., &amp; Saint, S. (2013). Determ ining the noninfectious complications of indwelling urethral catheters: A systematic review and meta-analysis. </w:t>
      </w:r>
      <w:r>
        <w:rPr>
          <w:i/>
          <w:sz w:val="16"/>
        </w:rPr>
        <w:t>Annals of Internal Medicine,</w:t>
      </w:r>
      <w:r>
        <w:rPr>
          <w:sz w:val="16"/>
        </w:rPr>
        <w:t xml:space="preserve"> </w:t>
      </w:r>
    </w:p>
    <w:p w14:paraId="5B7C98D0" w14:textId="77777777" w:rsidR="006F0DDB" w:rsidRDefault="00000000">
      <w:pPr>
        <w:spacing w:line="234" w:lineRule="auto"/>
        <w:ind w:left="360" w:right="0" w:firstLine="0"/>
      </w:pPr>
      <w:r>
        <w:rPr>
          <w:i/>
          <w:sz w:val="16"/>
        </w:rPr>
        <w:t>159</w:t>
      </w:r>
      <w:r>
        <w:rPr>
          <w:sz w:val="16"/>
        </w:rPr>
        <w:t>(6), 401-410. https://doi.org/10.7326/0003-4819-159-6-2013</w:t>
      </w:r>
    </w:p>
    <w:p w14:paraId="55FF4F15" w14:textId="77777777" w:rsidR="006F0DDB" w:rsidRDefault="00000000">
      <w:pPr>
        <w:spacing w:line="234" w:lineRule="auto"/>
        <w:ind w:left="360" w:right="0" w:firstLine="0"/>
      </w:pPr>
      <w:r>
        <w:rPr>
          <w:sz w:val="16"/>
        </w:rPr>
        <w:t xml:space="preserve">09170-00006 </w:t>
      </w:r>
    </w:p>
    <w:p w14:paraId="3E89CB92" w14:textId="77777777" w:rsidR="006F0DDB" w:rsidRDefault="00000000">
      <w:pPr>
        <w:spacing w:after="0" w:line="233" w:lineRule="auto"/>
        <w:ind w:left="355" w:right="-15" w:hanging="370"/>
      </w:pPr>
      <w:r>
        <w:rPr>
          <w:sz w:val="16"/>
        </w:rPr>
        <w:t xml:space="preserve">Johns Hopkins Hospital/Johns Hopkins University. (2016). </w:t>
      </w:r>
      <w:r>
        <w:rPr>
          <w:i/>
          <w:sz w:val="16"/>
        </w:rPr>
        <w:t xml:space="preserve">Johns Hopkins Nursing Evidence-Based Practice Model – Appendix C. </w:t>
      </w:r>
    </w:p>
    <w:p w14:paraId="47536BF1" w14:textId="77777777" w:rsidR="006F0DDB" w:rsidRDefault="00000000">
      <w:pPr>
        <w:spacing w:line="234" w:lineRule="auto"/>
        <w:ind w:left="360" w:right="0" w:firstLine="0"/>
      </w:pPr>
      <w:r>
        <w:rPr>
          <w:i/>
          <w:sz w:val="16"/>
        </w:rPr>
        <w:t>Evidence level and quality guide.</w:t>
      </w:r>
      <w:r>
        <w:rPr>
          <w:sz w:val="16"/>
        </w:rPr>
        <w:t xml:space="preserve"> http://www.hopkinsmedicine. org/evidence-based-practice/jhn_ebp.html</w:t>
      </w:r>
      <w:r>
        <w:rPr>
          <w:i/>
          <w:sz w:val="16"/>
        </w:rPr>
        <w:t xml:space="preserve"> </w:t>
      </w:r>
    </w:p>
    <w:p w14:paraId="6660D676" w14:textId="77777777" w:rsidR="006F0DDB" w:rsidRDefault="00000000">
      <w:pPr>
        <w:spacing w:line="234" w:lineRule="auto"/>
        <w:ind w:left="5" w:right="0" w:firstLine="0"/>
      </w:pPr>
      <w:r>
        <w:rPr>
          <w:sz w:val="16"/>
        </w:rPr>
        <w:t xml:space="preserve">Mackay, W.G., MacIntosh, T., Kydd, A., Fleming, A., O’Kane, C., </w:t>
      </w:r>
    </w:p>
    <w:p w14:paraId="2C106BDF" w14:textId="77777777" w:rsidR="006F0DDB" w:rsidRDefault="00000000">
      <w:pPr>
        <w:spacing w:line="234" w:lineRule="auto"/>
        <w:ind w:left="360" w:right="0" w:firstLine="0"/>
      </w:pPr>
      <w:r>
        <w:rPr>
          <w:sz w:val="16"/>
        </w:rPr>
        <w:t xml:space="preserve">Shepherd, A.J., Hagen, S., Williams, C., Mundie, J., Russell, C., </w:t>
      </w:r>
    </w:p>
    <w:p w14:paraId="0D071F49" w14:textId="77777777" w:rsidR="006F0DDB" w:rsidRDefault="00000000">
      <w:pPr>
        <w:spacing w:line="234" w:lineRule="auto"/>
        <w:ind w:left="360" w:right="0" w:firstLine="0"/>
      </w:pPr>
      <w:r>
        <w:rPr>
          <w:sz w:val="16"/>
        </w:rPr>
        <w:t xml:space="preserve">Rodgers, F., MacLachlan, M., Galbraith, R., Rankin, J., &amp; McIver, V. (2018). Living with an indwelling urethral catheter in a community setting: Exploring triggers for unscheduled community nurse “out-of-hours” visits. </w:t>
      </w:r>
      <w:r>
        <w:rPr>
          <w:i/>
          <w:sz w:val="16"/>
        </w:rPr>
        <w:t>Journal of Clinical Nursing,</w:t>
      </w:r>
      <w:r>
        <w:rPr>
          <w:sz w:val="16"/>
        </w:rPr>
        <w:t xml:space="preserve"> </w:t>
      </w:r>
    </w:p>
    <w:p w14:paraId="6547DBC1" w14:textId="77777777" w:rsidR="006F0DDB" w:rsidRDefault="00000000">
      <w:pPr>
        <w:spacing w:line="234" w:lineRule="auto"/>
        <w:ind w:left="360" w:right="0" w:firstLine="0"/>
      </w:pPr>
      <w:r>
        <w:rPr>
          <w:i/>
          <w:sz w:val="16"/>
        </w:rPr>
        <w:t>27</w:t>
      </w:r>
      <w:r>
        <w:rPr>
          <w:sz w:val="16"/>
        </w:rPr>
        <w:t xml:space="preserve">(3-4), 866-875. https://doi.org/10.1111/jocn.14117 </w:t>
      </w:r>
    </w:p>
    <w:p w14:paraId="10C669B6" w14:textId="77777777" w:rsidR="006F0DDB" w:rsidRDefault="00000000">
      <w:pPr>
        <w:spacing w:line="234" w:lineRule="auto"/>
        <w:ind w:left="5" w:right="0" w:firstLine="0"/>
      </w:pPr>
      <w:r>
        <w:rPr>
          <w:sz w:val="16"/>
        </w:rPr>
        <w:t xml:space="preserve">National Institute for Health and Care Excellence. (2012).  </w:t>
      </w:r>
    </w:p>
    <w:p w14:paraId="26D2227E" w14:textId="77777777" w:rsidR="006F0DDB" w:rsidRDefault="00000000">
      <w:pPr>
        <w:spacing w:line="234" w:lineRule="auto"/>
        <w:ind w:left="360" w:right="0" w:firstLine="0"/>
      </w:pPr>
      <w:r>
        <w:rPr>
          <w:i/>
          <w:sz w:val="16"/>
        </w:rPr>
        <w:t>Healthcare</w:t>
      </w:r>
      <w:r>
        <w:rPr>
          <w:rFonts w:ascii="Courier New" w:eastAsia="Courier New" w:hAnsi="Courier New" w:cs="Courier New"/>
          <w:sz w:val="16"/>
        </w:rPr>
        <w:t>-</w:t>
      </w:r>
      <w:r>
        <w:rPr>
          <w:i/>
          <w:sz w:val="16"/>
        </w:rPr>
        <w:t>associated infections: prevention and control in primary and community care</w:t>
      </w:r>
      <w:r>
        <w:rPr>
          <w:sz w:val="16"/>
        </w:rPr>
        <w:t xml:space="preserve">. </w:t>
      </w:r>
      <w:r>
        <w:rPr>
          <w:sz w:val="16"/>
        </w:rPr>
        <w:lastRenderedPageBreak/>
        <w:t xml:space="preserve">https://www.nice.org.uk/guidance/cg139/ifp/ chapter/long-term-use-of-urinary-catheters </w:t>
      </w:r>
    </w:p>
    <w:p w14:paraId="6681F82A" w14:textId="77777777" w:rsidR="006F0DDB" w:rsidRDefault="00000000">
      <w:pPr>
        <w:spacing w:line="234" w:lineRule="auto"/>
        <w:ind w:left="375" w:right="0" w:hanging="370"/>
      </w:pPr>
      <w:r>
        <w:rPr>
          <w:sz w:val="16"/>
        </w:rPr>
        <w:t xml:space="preserve">Newman, D.K. (2017). Devices, products, catheters, and catheter-associated urinary tract infections. In D.K. Newman, J.F. Wyman, &amp; V.W. Welch (Eds.), </w:t>
      </w:r>
      <w:r>
        <w:rPr>
          <w:i/>
          <w:sz w:val="16"/>
        </w:rPr>
        <w:t>Core curriculum for urologic nursing</w:t>
      </w:r>
      <w:r>
        <w:rPr>
          <w:sz w:val="16"/>
        </w:rPr>
        <w:t xml:space="preserve"> (1st ed., pp. 439-66). Society of Urologic Nurses and Associates. </w:t>
      </w:r>
    </w:p>
    <w:p w14:paraId="231A4C89" w14:textId="77777777" w:rsidR="006F0DDB" w:rsidRDefault="00000000">
      <w:pPr>
        <w:spacing w:line="234" w:lineRule="auto"/>
        <w:ind w:left="375" w:right="0" w:hanging="370"/>
      </w:pPr>
      <w:r>
        <w:rPr>
          <w:sz w:val="16"/>
        </w:rPr>
        <w:t xml:space="preserve">Newman, D.K., Cumbee, R.P., &amp; Rovner, E.S. (2018). Indwelling (transurethral and suprapubic) catheters. In D.K. Newman, E.S. Rovner, &amp; A.J. Wein (Eds.), </w:t>
      </w:r>
      <w:r>
        <w:rPr>
          <w:i/>
          <w:sz w:val="16"/>
        </w:rPr>
        <w:t xml:space="preserve">Clinical application of urologic catheters and products </w:t>
      </w:r>
      <w:r>
        <w:rPr>
          <w:sz w:val="16"/>
        </w:rPr>
        <w:t xml:space="preserve">(pp. 47-77).  Springer International Publishing.  </w:t>
      </w:r>
    </w:p>
    <w:p w14:paraId="42F6DF1D" w14:textId="77777777" w:rsidR="006F0DDB" w:rsidRDefault="00000000">
      <w:pPr>
        <w:spacing w:line="234" w:lineRule="auto"/>
        <w:ind w:left="375" w:right="0" w:hanging="370"/>
      </w:pPr>
      <w:r>
        <w:rPr>
          <w:sz w:val="16"/>
        </w:rPr>
        <w:t xml:space="preserve">NHS Lanarkshire. (2022). </w:t>
      </w:r>
      <w:r>
        <w:rPr>
          <w:i/>
          <w:sz w:val="16"/>
        </w:rPr>
        <w:t xml:space="preserve">Indwelling urinary catheter (IUC), including urethral and supra pubic: Insertion guidance. </w:t>
      </w:r>
      <w:r>
        <w:rPr>
          <w:sz w:val="16"/>
        </w:rPr>
        <w:t xml:space="preserve">https://nhslguidelines. scot.nhs.uk/media/2160/indwelling-urinary-catheter-inser tionguidelines-oct22-pdf-v4.pdf </w:t>
      </w:r>
    </w:p>
    <w:p w14:paraId="13DA2FFB" w14:textId="77777777" w:rsidR="006F0DDB" w:rsidRDefault="00000000">
      <w:pPr>
        <w:spacing w:line="234" w:lineRule="auto"/>
        <w:ind w:left="375" w:right="0" w:hanging="370"/>
      </w:pPr>
      <w:r>
        <w:rPr>
          <w:sz w:val="16"/>
        </w:rPr>
        <w:t xml:space="preserve">Pelling, H., Nzakizwanayo, J., Milo, S., Denham, E.L., MacFarlane, W.M., Bock, L.J., Sutton, J.M., &amp; Jones, B.V. (2019). Bacterial biofilm formation on indwelling urethral catheters. </w:t>
      </w:r>
      <w:r>
        <w:rPr>
          <w:i/>
          <w:sz w:val="16"/>
        </w:rPr>
        <w:t>Letters in Applied Microbiology</w:t>
      </w:r>
      <w:r>
        <w:rPr>
          <w:sz w:val="16"/>
        </w:rPr>
        <w:t xml:space="preserve">, </w:t>
      </w:r>
      <w:r>
        <w:rPr>
          <w:i/>
          <w:sz w:val="16"/>
        </w:rPr>
        <w:t>68</w:t>
      </w:r>
      <w:r>
        <w:rPr>
          <w:sz w:val="16"/>
        </w:rPr>
        <w:t xml:space="preserve">(4), 277-293. https://doi.org/10.1111/ lam.13144 </w:t>
      </w:r>
    </w:p>
    <w:p w14:paraId="346F7EDC" w14:textId="77777777" w:rsidR="006F0DDB" w:rsidRDefault="00000000">
      <w:pPr>
        <w:spacing w:line="234" w:lineRule="auto"/>
        <w:ind w:left="375" w:right="0" w:hanging="370"/>
      </w:pPr>
      <w:r>
        <w:rPr>
          <w:sz w:val="16"/>
        </w:rPr>
        <w:t>Prieto, J., Wilson, J., Bak, A., Denton, A., Flores, A., Lusardi, G., Reid, M., Shepherd, L., Whittome, N., &amp; Loveday, H. (2020). A prevalence survey of patients with indwelling urinary catheters on district nursing caseloads in the United Kingdom: The community urinary catheter management (CCaMa) study</w:t>
      </w:r>
      <w:r>
        <w:rPr>
          <w:i/>
          <w:sz w:val="16"/>
        </w:rPr>
        <w:t xml:space="preserve">. Journal of Infection </w:t>
      </w:r>
    </w:p>
    <w:p w14:paraId="34628D1F" w14:textId="77777777" w:rsidR="006F0DDB" w:rsidRDefault="00000000">
      <w:pPr>
        <w:spacing w:line="234" w:lineRule="auto"/>
        <w:ind w:left="360" w:right="0" w:firstLine="0"/>
      </w:pPr>
      <w:r>
        <w:rPr>
          <w:i/>
          <w:sz w:val="16"/>
        </w:rPr>
        <w:t>Prevention</w:t>
      </w:r>
      <w:r>
        <w:rPr>
          <w:sz w:val="16"/>
        </w:rPr>
        <w:t xml:space="preserve">, </w:t>
      </w:r>
      <w:r>
        <w:rPr>
          <w:i/>
          <w:sz w:val="16"/>
        </w:rPr>
        <w:t>21</w:t>
      </w:r>
      <w:r>
        <w:rPr>
          <w:sz w:val="16"/>
        </w:rPr>
        <w:t>(4) 129-135. https://doi.org/10.1177/175717742090</w:t>
      </w:r>
    </w:p>
    <w:p w14:paraId="43CCB7E0" w14:textId="77777777" w:rsidR="006F0DDB" w:rsidRDefault="00000000">
      <w:pPr>
        <w:spacing w:line="234" w:lineRule="auto"/>
        <w:ind w:left="360" w:right="0" w:firstLine="0"/>
      </w:pPr>
      <w:r>
        <w:rPr>
          <w:sz w:val="16"/>
        </w:rPr>
        <w:t xml:space="preserve">1550 </w:t>
      </w:r>
    </w:p>
    <w:p w14:paraId="1FB6EF82" w14:textId="77777777" w:rsidR="006F0DDB" w:rsidRDefault="00000000">
      <w:pPr>
        <w:spacing w:line="234" w:lineRule="auto"/>
        <w:ind w:left="375" w:right="0" w:hanging="370"/>
      </w:pPr>
      <w:r>
        <w:rPr>
          <w:sz w:val="16"/>
        </w:rPr>
        <w:t xml:space="preserve">Roe, B.H., &amp; Brocklehurst, J.C. (1987). Study of patients with indwelling catheters. </w:t>
      </w:r>
      <w:r>
        <w:rPr>
          <w:i/>
          <w:sz w:val="16"/>
        </w:rPr>
        <w:t>Journal of Advanced Nursing, 12</w:t>
      </w:r>
      <w:r>
        <w:rPr>
          <w:sz w:val="16"/>
        </w:rPr>
        <w:t xml:space="preserve">(6), 713-718. https://doi.org/10.1111/j.1365-2648.1987.tb01374.x </w:t>
      </w:r>
    </w:p>
    <w:p w14:paraId="480F0D9E" w14:textId="77777777" w:rsidR="006F0DDB" w:rsidRDefault="00000000">
      <w:pPr>
        <w:spacing w:line="234" w:lineRule="auto"/>
        <w:ind w:left="375" w:right="0" w:hanging="370"/>
      </w:pPr>
      <w:r>
        <w:rPr>
          <w:sz w:val="16"/>
        </w:rPr>
        <w:t xml:space="preserve">Rogers, M.A., Mody, L., Kaufman, S.R., Fries, B.E., McMahon, L.F., Jr., &amp; Saint, S. (2008). Use of urinary collection devices in skilled nursing facilities in five states. </w:t>
      </w:r>
      <w:r>
        <w:rPr>
          <w:i/>
          <w:sz w:val="16"/>
        </w:rPr>
        <w:t>Journal of the American Geriatrics Society, 56</w:t>
      </w:r>
      <w:r>
        <w:rPr>
          <w:sz w:val="16"/>
        </w:rPr>
        <w:t xml:space="preserve">(5), 854-861. https://doi.org/10.1111/j.1532-5415. 2008.01675.x </w:t>
      </w:r>
    </w:p>
    <w:p w14:paraId="048A3381" w14:textId="77777777" w:rsidR="006F0DDB" w:rsidRDefault="00000000">
      <w:pPr>
        <w:spacing w:after="101" w:line="233" w:lineRule="auto"/>
        <w:ind w:left="355" w:right="-15" w:hanging="370"/>
      </w:pPr>
      <w:r>
        <w:rPr>
          <w:sz w:val="16"/>
        </w:rPr>
        <w:t xml:space="preserve">Royal College of Physicians. (2005). </w:t>
      </w:r>
      <w:r>
        <w:rPr>
          <w:i/>
          <w:sz w:val="16"/>
        </w:rPr>
        <w:t xml:space="preserve">Report of the national audit of continence care for older people (65 years and above) in England, </w:t>
      </w:r>
      <w:proofErr w:type="gramStart"/>
      <w:r>
        <w:rPr>
          <w:i/>
          <w:sz w:val="16"/>
        </w:rPr>
        <w:t>Wales</w:t>
      </w:r>
      <w:proofErr w:type="gramEnd"/>
      <w:r>
        <w:rPr>
          <w:i/>
          <w:sz w:val="16"/>
        </w:rPr>
        <w:t xml:space="preserve"> and Northern Ireland.</w:t>
      </w:r>
      <w:r>
        <w:rPr>
          <w:sz w:val="16"/>
        </w:rPr>
        <w:t xml:space="preserve"> Author. </w:t>
      </w:r>
    </w:p>
    <w:p w14:paraId="44E68BD1" w14:textId="77777777" w:rsidR="006F0DDB" w:rsidRDefault="00000000">
      <w:pPr>
        <w:spacing w:after="0" w:line="259" w:lineRule="auto"/>
        <w:ind w:left="0" w:right="0" w:firstLine="0"/>
        <w:jc w:val="right"/>
      </w:pPr>
      <w:r>
        <w:rPr>
          <w:i/>
          <w:sz w:val="18"/>
        </w:rPr>
        <w:t xml:space="preserve">continued on page </w:t>
      </w:r>
      <w:proofErr w:type="gramStart"/>
      <w:r>
        <w:rPr>
          <w:i/>
          <w:sz w:val="18"/>
        </w:rPr>
        <w:t>176</w:t>
      </w:r>
      <w:proofErr w:type="gramEnd"/>
    </w:p>
    <w:p w14:paraId="5B8EB45B" w14:textId="77777777" w:rsidR="006F0DDB" w:rsidRDefault="006F0DDB">
      <w:pPr>
        <w:sectPr w:rsidR="006F0DDB">
          <w:type w:val="continuous"/>
          <w:pgSz w:w="11700" w:h="15660"/>
          <w:pgMar w:top="1690" w:right="980" w:bottom="736" w:left="960" w:header="720" w:footer="720" w:gutter="0"/>
          <w:cols w:num="2" w:space="342"/>
        </w:sectPr>
      </w:pPr>
    </w:p>
    <w:p w14:paraId="0CA9E253" w14:textId="77777777" w:rsidR="006F0DDB" w:rsidRDefault="00000000">
      <w:pPr>
        <w:spacing w:after="380" w:line="259" w:lineRule="auto"/>
        <w:ind w:left="0" w:right="0" w:firstLine="0"/>
        <w:jc w:val="left"/>
      </w:pPr>
      <w:r>
        <w:rPr>
          <w:color w:val="563C80"/>
          <w:sz w:val="16"/>
        </w:rPr>
        <w:lastRenderedPageBreak/>
        <w:t>Special Issues in Urology Nursing</w:t>
      </w:r>
    </w:p>
    <w:tbl>
      <w:tblPr>
        <w:tblStyle w:val="TableGrid"/>
        <w:tblW w:w="4710" w:type="dxa"/>
        <w:tblInd w:w="-20" w:type="dxa"/>
        <w:tblCellMar>
          <w:top w:w="136" w:type="dxa"/>
          <w:left w:w="115" w:type="dxa"/>
          <w:bottom w:w="0" w:type="dxa"/>
          <w:right w:w="115" w:type="dxa"/>
        </w:tblCellMar>
        <w:tblLook w:val="04A0" w:firstRow="1" w:lastRow="0" w:firstColumn="1" w:lastColumn="0" w:noHBand="0" w:noVBand="1"/>
      </w:tblPr>
      <w:tblGrid>
        <w:gridCol w:w="4710"/>
      </w:tblGrid>
      <w:tr w:rsidR="006F0DDB" w14:paraId="2B13CB62" w14:textId="77777777">
        <w:trPr>
          <w:trHeight w:val="2241"/>
        </w:trPr>
        <w:tc>
          <w:tcPr>
            <w:tcW w:w="4710" w:type="dxa"/>
            <w:tcBorders>
              <w:top w:val="nil"/>
              <w:left w:val="nil"/>
              <w:bottom w:val="nil"/>
              <w:right w:val="nil"/>
            </w:tcBorders>
            <w:shd w:val="clear" w:color="auto" w:fill="CFCBE2"/>
          </w:tcPr>
          <w:p w14:paraId="6C5C46C4" w14:textId="77777777" w:rsidR="006F0DDB" w:rsidRDefault="00000000">
            <w:pPr>
              <w:spacing w:after="0" w:line="259" w:lineRule="auto"/>
              <w:ind w:left="485" w:right="93" w:hanging="485"/>
              <w:jc w:val="left"/>
            </w:pPr>
            <w:r>
              <w:rPr>
                <w:rFonts w:ascii="Calibri" w:eastAsia="Calibri" w:hAnsi="Calibri" w:cs="Calibri"/>
                <w:noProof/>
                <w:color w:val="000000"/>
                <w:sz w:val="22"/>
              </w:rPr>
              <mc:AlternateContent>
                <mc:Choice Requires="wpg">
                  <w:drawing>
                    <wp:inline distT="0" distB="0" distL="0" distR="0" wp14:anchorId="055982EB" wp14:editId="560036D4">
                      <wp:extent cx="239255" cy="214871"/>
                      <wp:effectExtent l="0" t="0" r="0" b="0"/>
                      <wp:docPr id="34600" name="Group 34600"/>
                      <wp:cNvGraphicFramePr/>
                      <a:graphic xmlns:a="http://schemas.openxmlformats.org/drawingml/2006/main">
                        <a:graphicData uri="http://schemas.microsoft.com/office/word/2010/wordprocessingGroup">
                          <wpg:wgp>
                            <wpg:cNvGrpSpPr/>
                            <wpg:grpSpPr>
                              <a:xfrm>
                                <a:off x="0" y="0"/>
                                <a:ext cx="239255" cy="214871"/>
                                <a:chOff x="0" y="0"/>
                                <a:chExt cx="239255" cy="214871"/>
                              </a:xfrm>
                            </wpg:grpSpPr>
                            <wps:wsp>
                              <wps:cNvPr id="3657" name="Shape 3657"/>
                              <wps:cNvSpPr/>
                              <wps:spPr>
                                <a:xfrm>
                                  <a:off x="146952" y="0"/>
                                  <a:ext cx="92304" cy="214871"/>
                                </a:xfrm>
                                <a:custGeom>
                                  <a:avLst/>
                                  <a:gdLst/>
                                  <a:ahLst/>
                                  <a:cxnLst/>
                                  <a:rect l="0" t="0" r="0" b="0"/>
                                  <a:pathLst>
                                    <a:path w="92304" h="214871">
                                      <a:moveTo>
                                        <a:pt x="92304" y="0"/>
                                      </a:moveTo>
                                      <a:lnTo>
                                        <a:pt x="92304" y="44196"/>
                                      </a:lnTo>
                                      <a:cubicBezTo>
                                        <a:pt x="77533" y="49784"/>
                                        <a:pt x="66345" y="58420"/>
                                        <a:pt x="58712" y="70104"/>
                                      </a:cubicBezTo>
                                      <a:cubicBezTo>
                                        <a:pt x="51079" y="81788"/>
                                        <a:pt x="47257" y="95758"/>
                                        <a:pt x="47257" y="112014"/>
                                      </a:cubicBezTo>
                                      <a:lnTo>
                                        <a:pt x="92304" y="112014"/>
                                      </a:lnTo>
                                      <a:lnTo>
                                        <a:pt x="92304" y="214871"/>
                                      </a:lnTo>
                                      <a:lnTo>
                                        <a:pt x="0" y="214871"/>
                                      </a:lnTo>
                                      <a:lnTo>
                                        <a:pt x="0" y="112014"/>
                                      </a:lnTo>
                                      <a:cubicBezTo>
                                        <a:pt x="0" y="97790"/>
                                        <a:pt x="2464" y="84582"/>
                                        <a:pt x="7391" y="72390"/>
                                      </a:cubicBezTo>
                                      <a:cubicBezTo>
                                        <a:pt x="12306" y="60198"/>
                                        <a:pt x="18961" y="49403"/>
                                        <a:pt x="27329" y="40005"/>
                                      </a:cubicBezTo>
                                      <a:cubicBezTo>
                                        <a:pt x="35687" y="30607"/>
                                        <a:pt x="45415" y="22606"/>
                                        <a:pt x="56490" y="16002"/>
                                      </a:cubicBezTo>
                                      <a:cubicBezTo>
                                        <a:pt x="67564" y="9398"/>
                                        <a:pt x="79502" y="4064"/>
                                        <a:pt x="92304" y="0"/>
                                      </a:cubicBezTo>
                                      <a:close/>
                                    </a:path>
                                  </a:pathLst>
                                </a:custGeom>
                                <a:ln w="0" cap="flat">
                                  <a:miter lim="127000"/>
                                </a:ln>
                              </wps:spPr>
                              <wps:style>
                                <a:lnRef idx="0">
                                  <a:srgbClr val="000000">
                                    <a:alpha val="0"/>
                                  </a:srgbClr>
                                </a:lnRef>
                                <a:fillRef idx="1">
                                  <a:srgbClr val="8F91BE"/>
                                </a:fillRef>
                                <a:effectRef idx="0">
                                  <a:scrgbClr r="0" g="0" b="0"/>
                                </a:effectRef>
                                <a:fontRef idx="none"/>
                              </wps:style>
                              <wps:bodyPr/>
                            </wps:wsp>
                            <wps:wsp>
                              <wps:cNvPr id="3658" name="Shape 3658"/>
                              <wps:cNvSpPr/>
                              <wps:spPr>
                                <a:xfrm>
                                  <a:off x="0" y="0"/>
                                  <a:ext cx="92304" cy="214871"/>
                                </a:xfrm>
                                <a:custGeom>
                                  <a:avLst/>
                                  <a:gdLst/>
                                  <a:ahLst/>
                                  <a:cxnLst/>
                                  <a:rect l="0" t="0" r="0" b="0"/>
                                  <a:pathLst>
                                    <a:path w="92304" h="214871">
                                      <a:moveTo>
                                        <a:pt x="92304" y="0"/>
                                      </a:moveTo>
                                      <a:lnTo>
                                        <a:pt x="92304" y="44196"/>
                                      </a:lnTo>
                                      <a:cubicBezTo>
                                        <a:pt x="77533" y="49784"/>
                                        <a:pt x="66345" y="58420"/>
                                        <a:pt x="58712" y="70104"/>
                                      </a:cubicBezTo>
                                      <a:cubicBezTo>
                                        <a:pt x="51079" y="81788"/>
                                        <a:pt x="47257" y="95758"/>
                                        <a:pt x="47257" y="112014"/>
                                      </a:cubicBezTo>
                                      <a:lnTo>
                                        <a:pt x="92304" y="112014"/>
                                      </a:lnTo>
                                      <a:lnTo>
                                        <a:pt x="92304" y="214871"/>
                                      </a:lnTo>
                                      <a:lnTo>
                                        <a:pt x="0" y="214871"/>
                                      </a:lnTo>
                                      <a:lnTo>
                                        <a:pt x="0" y="112014"/>
                                      </a:lnTo>
                                      <a:cubicBezTo>
                                        <a:pt x="0" y="97790"/>
                                        <a:pt x="2464" y="84582"/>
                                        <a:pt x="7391" y="72390"/>
                                      </a:cubicBezTo>
                                      <a:cubicBezTo>
                                        <a:pt x="12306" y="60198"/>
                                        <a:pt x="18961" y="49403"/>
                                        <a:pt x="27330" y="40005"/>
                                      </a:cubicBezTo>
                                      <a:cubicBezTo>
                                        <a:pt x="35700" y="30607"/>
                                        <a:pt x="45415" y="22606"/>
                                        <a:pt x="56490" y="16002"/>
                                      </a:cubicBezTo>
                                      <a:cubicBezTo>
                                        <a:pt x="67564" y="9398"/>
                                        <a:pt x="79502" y="4064"/>
                                        <a:pt x="92304" y="0"/>
                                      </a:cubicBezTo>
                                      <a:close/>
                                    </a:path>
                                  </a:pathLst>
                                </a:custGeom>
                                <a:ln w="0" cap="flat">
                                  <a:miter lim="127000"/>
                                </a:ln>
                              </wps:spPr>
                              <wps:style>
                                <a:lnRef idx="0">
                                  <a:srgbClr val="000000">
                                    <a:alpha val="0"/>
                                  </a:srgbClr>
                                </a:lnRef>
                                <a:fillRef idx="1">
                                  <a:srgbClr val="8F91BE"/>
                                </a:fillRef>
                                <a:effectRef idx="0">
                                  <a:scrgbClr r="0" g="0" b="0"/>
                                </a:effectRef>
                                <a:fontRef idx="none"/>
                              </wps:style>
                              <wps:bodyPr/>
                            </wps:wsp>
                          </wpg:wgp>
                        </a:graphicData>
                      </a:graphic>
                    </wp:inline>
                  </w:drawing>
                </mc:Choice>
                <mc:Fallback xmlns:a="http://schemas.openxmlformats.org/drawingml/2006/main">
                  <w:pict>
                    <v:group id="Group 34600" style="width:18.839pt;height:16.919pt;mso-position-horizontal-relative:char;mso-position-vertical-relative:line" coordsize="2392,2148">
                      <v:shape id="Shape 3657" style="position:absolute;width:923;height:2148;left:1469;top:0;" coordsize="92304,214871" path="m92304,0l92304,44196c77533,49784,66345,58420,58712,70104c51079,81788,47257,95758,47257,112014l92304,112014l92304,214871l0,214871l0,112014c0,97790,2464,84582,7391,72390c12306,60198,18961,49403,27329,40005c35687,30607,45415,22606,56490,16002c67564,9398,79502,4064,92304,0x">
                        <v:stroke weight="0pt" endcap="flat" joinstyle="miter" miterlimit="10" on="false" color="#000000" opacity="0"/>
                        <v:fill on="true" color="#8f91be"/>
                      </v:shape>
                      <v:shape id="Shape 3658" style="position:absolute;width:923;height:2148;left:0;top:0;" coordsize="92304,214871" path="m92304,0l92304,44196c77533,49784,66345,58420,58712,70104c51079,81788,47257,95758,47257,112014l92304,112014l92304,214871l0,214871l0,112014c0,97790,2464,84582,7391,72390c12306,60198,18961,49403,27330,40005c35700,30607,45415,22606,56490,16002c67564,9398,79502,4064,92304,0x">
                        <v:stroke weight="0pt" endcap="flat" joinstyle="miter" miterlimit="10" on="false" color="#000000" opacity="0"/>
                        <v:fill on="true" color="#8f91be"/>
                      </v:shape>
                    </v:group>
                  </w:pict>
                </mc:Fallback>
              </mc:AlternateContent>
            </w:r>
            <w:r>
              <w:rPr>
                <w:rFonts w:ascii="Arial" w:eastAsia="Arial" w:hAnsi="Arial" w:cs="Arial"/>
                <w:sz w:val="24"/>
              </w:rPr>
              <w:t xml:space="preserve"> Given the enormous complexity and multitude of patient factors that must be considered when training a client </w:t>
            </w:r>
            <w:proofErr w:type="gramStart"/>
            <w:r>
              <w:rPr>
                <w:rFonts w:ascii="Arial" w:eastAsia="Arial" w:hAnsi="Arial" w:cs="Arial"/>
                <w:sz w:val="24"/>
              </w:rPr>
              <w:t>for  an</w:t>
            </w:r>
            <w:proofErr w:type="gramEnd"/>
            <w:r>
              <w:rPr>
                <w:rFonts w:ascii="Arial" w:eastAsia="Arial" w:hAnsi="Arial" w:cs="Arial"/>
                <w:sz w:val="24"/>
              </w:rPr>
              <w:t xml:space="preserve"> IC program, a multidisciplinary approach is crucial for patient and caregiver success.”</w:t>
            </w:r>
          </w:p>
        </w:tc>
      </w:tr>
    </w:tbl>
    <w:p w14:paraId="316E43F2" w14:textId="77777777" w:rsidR="006F0DDB" w:rsidRDefault="00000000">
      <w:pPr>
        <w:spacing w:after="247"/>
        <w:ind w:left="5" w:right="5"/>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61444B77" wp14:editId="140FF604">
                <wp:simplePos x="0" y="0"/>
                <wp:positionH relativeFrom="margin">
                  <wp:posOffset>-12699</wp:posOffset>
                </wp:positionH>
                <wp:positionV relativeFrom="paragraph">
                  <wp:posOffset>2801456</wp:posOffset>
                </wp:positionV>
                <wp:extent cx="6210300" cy="6350"/>
                <wp:effectExtent l="0" t="0" r="0" b="0"/>
                <wp:wrapTopAndBottom/>
                <wp:docPr id="34660" name="Group 34660"/>
                <wp:cNvGraphicFramePr/>
                <a:graphic xmlns:a="http://schemas.openxmlformats.org/drawingml/2006/main">
                  <a:graphicData uri="http://schemas.microsoft.com/office/word/2010/wordprocessingGroup">
                    <wpg:wgp>
                      <wpg:cNvGrpSpPr/>
                      <wpg:grpSpPr>
                        <a:xfrm>
                          <a:off x="0" y="0"/>
                          <a:ext cx="6210300" cy="6350"/>
                          <a:chOff x="0" y="0"/>
                          <a:chExt cx="6210300" cy="6350"/>
                        </a:xfrm>
                      </wpg:grpSpPr>
                      <wps:wsp>
                        <wps:cNvPr id="3572" name="Shape 3572"/>
                        <wps:cNvSpPr/>
                        <wps:spPr>
                          <a:xfrm>
                            <a:off x="0" y="0"/>
                            <a:ext cx="6210300" cy="0"/>
                          </a:xfrm>
                          <a:custGeom>
                            <a:avLst/>
                            <a:gdLst/>
                            <a:ahLst/>
                            <a:cxnLst/>
                            <a:rect l="0" t="0" r="0" b="0"/>
                            <a:pathLst>
                              <a:path w="6210300">
                                <a:moveTo>
                                  <a:pt x="0" y="0"/>
                                </a:moveTo>
                                <a:lnTo>
                                  <a:pt x="6210300" y="0"/>
                                </a:lnTo>
                              </a:path>
                            </a:pathLst>
                          </a:custGeom>
                          <a:ln w="6350" cap="flat">
                            <a:miter lim="127000"/>
                          </a:ln>
                        </wps:spPr>
                        <wps:style>
                          <a:lnRef idx="1">
                            <a:srgbClr val="181717"/>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4660" style="width:489pt;height:0.5pt;position:absolute;mso-position-horizontal-relative:margin;mso-position-horizontal:absolute;margin-left:-1pt;mso-position-vertical-relative:text;margin-top:220.587pt;" coordsize="62103,63">
                <v:shape id="Shape 3572" style="position:absolute;width:62103;height:0;left:0;top:0;" coordsize="6210300,0" path="m0,0l6210300,0">
                  <v:stroke weight="0.5pt" endcap="flat" joinstyle="miter" miterlimit="10" on="true" color="#181717"/>
                  <v:fill on="false" color="#000000" opacity="0"/>
                </v:shape>
                <w10:wrap type="topAndBottom"/>
              </v:group>
            </w:pict>
          </mc:Fallback>
        </mc:AlternateContent>
      </w:r>
      <w:r>
        <w:t xml:space="preserve">Although mirrors are </w:t>
      </w:r>
      <w:proofErr w:type="gramStart"/>
      <w:r>
        <w:t>most commonly used</w:t>
      </w:r>
      <w:proofErr w:type="gramEnd"/>
      <w:r>
        <w:t xml:space="preserve"> with females, a knee spreader mirror was beneficial to Mr. Franz, as he first learned IC from his hospital bed with the head of the bed raised to allow him to visualize his penis over his pannus. As Mr. Franz’s leg strength and standing balance improved, Mr. Franz’s OT practiced catheterizing directly into the toilet from both standing and seated positions. Mr. Franz’s OT introduced him to a variety of durable medical equipment (DME) products, including grab bars, raised toilet seats, and toilet safety frames to determine which DME would provide him with the greatest amount of safety and independence. The OT completed a home evaluation, where formal recommendations for DME were made based on Mr. Franz’s home environment and functional abilities. Mr. Franz’s OT also taught him energy conservation principles and strategies to help him determine circumstances when he is safest to stand versus sit to complete the task of IC to prevent falls. </w:t>
      </w:r>
    </w:p>
    <w:p w14:paraId="6E31707B" w14:textId="77777777" w:rsidR="006F0DDB" w:rsidRDefault="00000000">
      <w:pPr>
        <w:spacing w:before="263" w:after="0" w:line="259" w:lineRule="auto"/>
        <w:ind w:left="-5" w:right="0" w:hanging="10"/>
        <w:jc w:val="left"/>
      </w:pPr>
      <w:r>
        <w:rPr>
          <w:sz w:val="24"/>
        </w:rPr>
        <w:t xml:space="preserve">Living with an Indwelling Urinary </w:t>
      </w:r>
    </w:p>
    <w:p w14:paraId="79B50927" w14:textId="77777777" w:rsidR="006F0DDB" w:rsidRDefault="00000000">
      <w:pPr>
        <w:spacing w:after="0" w:line="259" w:lineRule="auto"/>
        <w:ind w:left="-5" w:right="0" w:hanging="10"/>
        <w:jc w:val="left"/>
      </w:pPr>
      <w:r>
        <w:rPr>
          <w:sz w:val="24"/>
        </w:rPr>
        <w:t xml:space="preserve">Catheter </w:t>
      </w:r>
    </w:p>
    <w:p w14:paraId="312D21B8" w14:textId="77777777" w:rsidR="006F0DDB" w:rsidRDefault="00000000">
      <w:pPr>
        <w:spacing w:after="0" w:line="259" w:lineRule="auto"/>
        <w:ind w:left="0" w:right="0" w:firstLine="0"/>
        <w:jc w:val="left"/>
      </w:pPr>
      <w:r>
        <w:rPr>
          <w:i/>
          <w:sz w:val="18"/>
        </w:rPr>
        <w:t xml:space="preserve">continued from page </w:t>
      </w:r>
      <w:proofErr w:type="gramStart"/>
      <w:r>
        <w:rPr>
          <w:i/>
          <w:sz w:val="18"/>
        </w:rPr>
        <w:t>171</w:t>
      </w:r>
      <w:proofErr w:type="gramEnd"/>
      <w:r>
        <w:rPr>
          <w:i/>
          <w:sz w:val="18"/>
        </w:rPr>
        <w:t xml:space="preserve"> </w:t>
      </w:r>
    </w:p>
    <w:p w14:paraId="2B734FC2" w14:textId="77777777" w:rsidR="006F0DDB" w:rsidRDefault="00000000">
      <w:pPr>
        <w:spacing w:after="0" w:line="259" w:lineRule="auto"/>
        <w:ind w:left="0" w:right="0" w:firstLine="0"/>
        <w:jc w:val="left"/>
      </w:pPr>
      <w:r>
        <w:rPr>
          <w:sz w:val="18"/>
        </w:rPr>
        <w:t xml:space="preserve"> </w:t>
      </w:r>
    </w:p>
    <w:p w14:paraId="01C79CFF" w14:textId="77777777" w:rsidR="006F0DDB" w:rsidRDefault="00000000">
      <w:pPr>
        <w:spacing w:line="234" w:lineRule="auto"/>
        <w:ind w:left="375" w:right="0" w:hanging="370"/>
      </w:pPr>
      <w:r>
        <w:rPr>
          <w:sz w:val="16"/>
        </w:rPr>
        <w:t xml:space="preserve">Royal Cornwall Hospitals NHS Trust (2015). RCHT adult urinary catheterisation policy v4.2. https://www.yumpu.com/en/docu ment/read/50555141/catheterisation-in-adults-the-royal-corn wall-hospitals-trust- </w:t>
      </w:r>
    </w:p>
    <w:p w14:paraId="61DE9C1B" w14:textId="77777777" w:rsidR="006F0DDB" w:rsidRDefault="00000000">
      <w:pPr>
        <w:spacing w:line="234" w:lineRule="auto"/>
        <w:ind w:left="375" w:right="0" w:hanging="370"/>
      </w:pPr>
      <w:r>
        <w:rPr>
          <w:sz w:val="16"/>
        </w:rPr>
        <w:t xml:space="preserve">Schuur, J.D., Chambers, J.G., &amp; Hou, P.C. (2014). Urinary catheter </w:t>
      </w:r>
      <w:proofErr w:type="gramStart"/>
      <w:r>
        <w:rPr>
          <w:sz w:val="16"/>
        </w:rPr>
        <w:t>use</w:t>
      </w:r>
      <w:proofErr w:type="gramEnd"/>
      <w:r>
        <w:rPr>
          <w:sz w:val="16"/>
        </w:rPr>
        <w:t xml:space="preserve"> and appropriateness in U.S. emergency departments, 19952010. </w:t>
      </w:r>
      <w:r>
        <w:rPr>
          <w:i/>
          <w:sz w:val="16"/>
        </w:rPr>
        <w:t>Academic Emergency Medicine,</w:t>
      </w:r>
      <w:r>
        <w:rPr>
          <w:sz w:val="16"/>
        </w:rPr>
        <w:t xml:space="preserve"> </w:t>
      </w:r>
      <w:r>
        <w:rPr>
          <w:i/>
          <w:sz w:val="16"/>
        </w:rPr>
        <w:t>21</w:t>
      </w:r>
      <w:r>
        <w:rPr>
          <w:sz w:val="16"/>
        </w:rPr>
        <w:t xml:space="preserve">(3), 292-300. https:// doi.org/10.1111/acem.12334 </w:t>
      </w:r>
    </w:p>
    <w:p w14:paraId="34179DDD" w14:textId="77777777" w:rsidR="006F0DDB" w:rsidRDefault="00000000">
      <w:pPr>
        <w:spacing w:line="234" w:lineRule="auto"/>
        <w:ind w:left="375" w:right="0" w:hanging="370"/>
      </w:pPr>
      <w:r>
        <w:rPr>
          <w:sz w:val="16"/>
        </w:rPr>
        <w:t xml:space="preserve">Shackley, D.C., Whytock, C., Parry, G., Clarke, L., Vincent, C., Harrison, A., John, A., Provost, L., &amp; Power, M. (2017). </w:t>
      </w:r>
    </w:p>
    <w:p w14:paraId="091000E7" w14:textId="77777777" w:rsidR="006F0DDB" w:rsidRDefault="00000000">
      <w:pPr>
        <w:spacing w:line="234" w:lineRule="auto"/>
        <w:ind w:left="360" w:right="0" w:firstLine="0"/>
      </w:pPr>
      <w:r>
        <w:rPr>
          <w:sz w:val="16"/>
        </w:rPr>
        <w:t xml:space="preserve">Variation in the prevalence of urinary catheters: a profile of National Health Service patients in England. </w:t>
      </w:r>
      <w:r>
        <w:rPr>
          <w:i/>
          <w:sz w:val="16"/>
        </w:rPr>
        <w:t>BMJ Open, 7</w:t>
      </w:r>
      <w:r>
        <w:rPr>
          <w:sz w:val="16"/>
        </w:rPr>
        <w:t xml:space="preserve">, e013842. https://doi.org/10.1136/bmjopen-2016-013842  </w:t>
      </w:r>
    </w:p>
    <w:p w14:paraId="45FF5AAF" w14:textId="77777777" w:rsidR="006F0DDB" w:rsidRDefault="00000000">
      <w:pPr>
        <w:spacing w:line="234" w:lineRule="auto"/>
        <w:ind w:left="375" w:right="0" w:hanging="370"/>
      </w:pPr>
      <w:r>
        <w:rPr>
          <w:sz w:val="16"/>
        </w:rPr>
        <w:t xml:space="preserve">Shepherd, A.J., Mackay, W., &amp; Hagen, S. (2017). Washout policies in long-term indwelling urinary catheterisation in adults. </w:t>
      </w:r>
      <w:r>
        <w:rPr>
          <w:i/>
          <w:sz w:val="16"/>
        </w:rPr>
        <w:t xml:space="preserve">Cochrane </w:t>
      </w:r>
    </w:p>
    <w:p w14:paraId="7046D153" w14:textId="77777777" w:rsidR="006F0DDB" w:rsidRDefault="00000000">
      <w:pPr>
        <w:spacing w:after="0" w:line="259" w:lineRule="auto"/>
        <w:ind w:left="0" w:right="56" w:firstLine="0"/>
        <w:jc w:val="right"/>
      </w:pPr>
      <w:r>
        <w:rPr>
          <w:i/>
          <w:sz w:val="16"/>
        </w:rPr>
        <w:t>Database of Systematic Reviews, 3</w:t>
      </w:r>
      <w:r>
        <w:rPr>
          <w:sz w:val="16"/>
        </w:rPr>
        <w:t>(3), CD004012. https://doi.org/</w:t>
      </w:r>
    </w:p>
    <w:p w14:paraId="67D9509D" w14:textId="77777777" w:rsidR="006F0DDB" w:rsidRDefault="00000000">
      <w:pPr>
        <w:spacing w:line="234" w:lineRule="auto"/>
        <w:ind w:left="360" w:right="0" w:firstLine="0"/>
      </w:pPr>
      <w:r>
        <w:rPr>
          <w:sz w:val="16"/>
        </w:rPr>
        <w:t xml:space="preserve">10.1002/14651858.CD004012.pub5 </w:t>
      </w:r>
    </w:p>
    <w:p w14:paraId="16F693CB" w14:textId="77777777" w:rsidR="006F0DDB" w:rsidRDefault="00000000">
      <w:pPr>
        <w:spacing w:after="1613" w:line="234" w:lineRule="auto"/>
        <w:ind w:left="375" w:right="0" w:hanging="370"/>
      </w:pPr>
      <w:r>
        <w:rPr>
          <w:sz w:val="16"/>
        </w:rPr>
        <w:t xml:space="preserve">Singh, D., Vasudeva, P., &amp; Goel, A. (2010). “Egg shell” in bladder: A calculus around neglected Foley balloon catheter. </w:t>
      </w:r>
      <w:r>
        <w:rPr>
          <w:i/>
          <w:sz w:val="16"/>
        </w:rPr>
        <w:t>Indian Journal of Urology, 26</w:t>
      </w:r>
      <w:r>
        <w:rPr>
          <w:sz w:val="16"/>
        </w:rPr>
        <w:t xml:space="preserve">(2), 299-300. https://doi.org/10.4103/0970-1591. 65410 </w:t>
      </w:r>
    </w:p>
    <w:p w14:paraId="0C9096C9" w14:textId="77777777" w:rsidR="006F0DDB" w:rsidRDefault="00000000">
      <w:pPr>
        <w:spacing w:after="0" w:line="259" w:lineRule="auto"/>
        <w:ind w:left="0" w:right="0" w:firstLine="0"/>
        <w:jc w:val="left"/>
      </w:pPr>
      <w:r>
        <w:rPr>
          <w:b/>
        </w:rPr>
        <w:t>176</w:t>
      </w:r>
    </w:p>
    <w:p w14:paraId="21F54DCD" w14:textId="77777777" w:rsidR="006F0DDB" w:rsidRDefault="00000000">
      <w:pPr>
        <w:pStyle w:val="Heading2"/>
        <w:ind w:left="15"/>
      </w:pPr>
      <w:r>
        <w:t xml:space="preserve">Conclusion </w:t>
      </w:r>
    </w:p>
    <w:p w14:paraId="5AB66E77" w14:textId="77777777" w:rsidR="006F0DDB" w:rsidRDefault="00000000">
      <w:pPr>
        <w:spacing w:after="73" w:line="259" w:lineRule="auto"/>
        <w:ind w:left="0" w:right="0" w:firstLine="0"/>
        <w:jc w:val="left"/>
      </w:pPr>
      <w:r>
        <w:rPr>
          <w:rFonts w:ascii="Calibri" w:eastAsia="Calibri" w:hAnsi="Calibri" w:cs="Calibri"/>
          <w:noProof/>
          <w:color w:val="000000"/>
          <w:sz w:val="22"/>
        </w:rPr>
        <mc:AlternateContent>
          <mc:Choice Requires="wpg">
            <w:drawing>
              <wp:inline distT="0" distB="0" distL="0" distR="0" wp14:anchorId="435DAC81" wp14:editId="7BAF9B6A">
                <wp:extent cx="2990850" cy="25400"/>
                <wp:effectExtent l="0" t="0" r="0" b="0"/>
                <wp:docPr id="34658" name="Group 34658"/>
                <wp:cNvGraphicFramePr/>
                <a:graphic xmlns:a="http://schemas.openxmlformats.org/drawingml/2006/main">
                  <a:graphicData uri="http://schemas.microsoft.com/office/word/2010/wordprocessingGroup">
                    <wpg:wgp>
                      <wpg:cNvGrpSpPr/>
                      <wpg:grpSpPr>
                        <a:xfrm>
                          <a:off x="0" y="0"/>
                          <a:ext cx="2990850" cy="25400"/>
                          <a:chOff x="0" y="0"/>
                          <a:chExt cx="2990850" cy="25400"/>
                        </a:xfrm>
                      </wpg:grpSpPr>
                      <wps:wsp>
                        <wps:cNvPr id="3493" name="Shape 3493"/>
                        <wps:cNvSpPr/>
                        <wps:spPr>
                          <a:xfrm>
                            <a:off x="0" y="0"/>
                            <a:ext cx="2990850" cy="0"/>
                          </a:xfrm>
                          <a:custGeom>
                            <a:avLst/>
                            <a:gdLst/>
                            <a:ahLst/>
                            <a:cxnLst/>
                            <a:rect l="0" t="0" r="0" b="0"/>
                            <a:pathLst>
                              <a:path w="2990850">
                                <a:moveTo>
                                  <a:pt x="0" y="0"/>
                                </a:moveTo>
                                <a:lnTo>
                                  <a:pt x="2990850" y="0"/>
                                </a:lnTo>
                              </a:path>
                            </a:pathLst>
                          </a:custGeom>
                          <a:ln w="25400" cap="flat">
                            <a:miter lim="127000"/>
                          </a:ln>
                        </wps:spPr>
                        <wps:style>
                          <a:lnRef idx="1">
                            <a:srgbClr val="9F8CB9"/>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34658" style="width:235.5pt;height:2pt;mso-position-horizontal-relative:char;mso-position-vertical-relative:line" coordsize="29908,254">
                <v:shape id="Shape 3493" style="position:absolute;width:29908;height:0;left:0;top:0;" coordsize="2990850,0" path="m0,0l2990850,0">
                  <v:stroke weight="2pt" endcap="flat" joinstyle="miter" miterlimit="10" on="true" color="#9f8cb9"/>
                  <v:fill on="false" color="#000000" opacity="0"/>
                </v:shape>
              </v:group>
            </w:pict>
          </mc:Fallback>
        </mc:AlternateContent>
      </w:r>
    </w:p>
    <w:p w14:paraId="23B89F87" w14:textId="77777777" w:rsidR="006F0DDB" w:rsidRDefault="00000000">
      <w:pPr>
        <w:spacing w:after="177"/>
        <w:ind w:left="5" w:right="5"/>
      </w:pPr>
      <w:r>
        <w:t xml:space="preserve">Given the enormous complexity and multitude of patient factors that must be considered when training a client for an IC program, a multidisciplinary approach is crucial for patient and caregiver success. Each discipline brings a unique skillset to a client’s experience. Together, OT and nursing colleagues can elevate clients to a new level of independence and success with managing their ICP. </w:t>
      </w:r>
      <w:r>
        <w:rPr>
          <w:rFonts w:ascii="Calibri" w:eastAsia="Calibri" w:hAnsi="Calibri" w:cs="Calibri"/>
          <w:noProof/>
          <w:color w:val="000000"/>
          <w:sz w:val="22"/>
        </w:rPr>
        <mc:AlternateContent>
          <mc:Choice Requires="wpg">
            <w:drawing>
              <wp:inline distT="0" distB="0" distL="0" distR="0" wp14:anchorId="1AEA2773" wp14:editId="23F816A9">
                <wp:extent cx="92939" cy="92939"/>
                <wp:effectExtent l="0" t="0" r="0" b="0"/>
                <wp:docPr id="34659" name="Group 34659"/>
                <wp:cNvGraphicFramePr/>
                <a:graphic xmlns:a="http://schemas.openxmlformats.org/drawingml/2006/main">
                  <a:graphicData uri="http://schemas.microsoft.com/office/word/2010/wordprocessingGroup">
                    <wpg:wgp>
                      <wpg:cNvGrpSpPr/>
                      <wpg:grpSpPr>
                        <a:xfrm>
                          <a:off x="0" y="0"/>
                          <a:ext cx="92939" cy="92939"/>
                          <a:chOff x="0" y="0"/>
                          <a:chExt cx="92939" cy="92939"/>
                        </a:xfrm>
                      </wpg:grpSpPr>
                      <wps:wsp>
                        <wps:cNvPr id="3570" name="Shape 3570"/>
                        <wps:cNvSpPr/>
                        <wps:spPr>
                          <a:xfrm>
                            <a:off x="0" y="0"/>
                            <a:ext cx="92939" cy="92939"/>
                          </a:xfrm>
                          <a:custGeom>
                            <a:avLst/>
                            <a:gdLst/>
                            <a:ahLst/>
                            <a:cxnLst/>
                            <a:rect l="0" t="0" r="0" b="0"/>
                            <a:pathLst>
                              <a:path w="92939" h="92939">
                                <a:moveTo>
                                  <a:pt x="0" y="92939"/>
                                </a:moveTo>
                                <a:lnTo>
                                  <a:pt x="92939" y="92939"/>
                                </a:lnTo>
                                <a:lnTo>
                                  <a:pt x="92939" y="0"/>
                                </a:lnTo>
                                <a:lnTo>
                                  <a:pt x="0" y="0"/>
                                </a:lnTo>
                                <a:close/>
                              </a:path>
                            </a:pathLst>
                          </a:custGeom>
                          <a:ln w="6350" cap="flat">
                            <a:miter lim="127000"/>
                          </a:ln>
                        </wps:spPr>
                        <wps:style>
                          <a:lnRef idx="1">
                            <a:srgbClr val="563C80"/>
                          </a:lnRef>
                          <a:fillRef idx="0">
                            <a:srgbClr val="000000">
                              <a:alpha val="0"/>
                            </a:srgbClr>
                          </a:fillRef>
                          <a:effectRef idx="0">
                            <a:scrgbClr r="0" g="0" b="0"/>
                          </a:effectRef>
                          <a:fontRef idx="none"/>
                        </wps:style>
                        <wps:bodyPr/>
                      </wps:wsp>
                      <wps:wsp>
                        <wps:cNvPr id="3571" name="Shape 3571"/>
                        <wps:cNvSpPr/>
                        <wps:spPr>
                          <a:xfrm>
                            <a:off x="20434" y="20403"/>
                            <a:ext cx="52121" cy="52108"/>
                          </a:xfrm>
                          <a:custGeom>
                            <a:avLst/>
                            <a:gdLst/>
                            <a:ahLst/>
                            <a:cxnLst/>
                            <a:rect l="0" t="0" r="0" b="0"/>
                            <a:pathLst>
                              <a:path w="52121" h="52108">
                                <a:moveTo>
                                  <a:pt x="26060" y="0"/>
                                </a:moveTo>
                                <a:cubicBezTo>
                                  <a:pt x="40446" y="0"/>
                                  <a:pt x="52121" y="11673"/>
                                  <a:pt x="52121" y="26054"/>
                                </a:cubicBezTo>
                                <a:cubicBezTo>
                                  <a:pt x="52121" y="40436"/>
                                  <a:pt x="40446" y="52108"/>
                                  <a:pt x="26060" y="52108"/>
                                </a:cubicBezTo>
                                <a:cubicBezTo>
                                  <a:pt x="11675" y="52108"/>
                                  <a:pt x="0" y="40436"/>
                                  <a:pt x="0" y="26054"/>
                                </a:cubicBezTo>
                                <a:cubicBezTo>
                                  <a:pt x="0" y="11673"/>
                                  <a:pt x="11675" y="0"/>
                                  <a:pt x="26060" y="0"/>
                                </a:cubicBezTo>
                                <a:close/>
                              </a:path>
                            </a:pathLst>
                          </a:custGeom>
                          <a:ln w="0" cap="flat">
                            <a:miter lim="127000"/>
                          </a:ln>
                        </wps:spPr>
                        <wps:style>
                          <a:lnRef idx="0">
                            <a:srgbClr val="000000">
                              <a:alpha val="0"/>
                            </a:srgbClr>
                          </a:lnRef>
                          <a:fillRef idx="1">
                            <a:srgbClr val="563C80"/>
                          </a:fillRef>
                          <a:effectRef idx="0">
                            <a:scrgbClr r="0" g="0" b="0"/>
                          </a:effectRef>
                          <a:fontRef idx="none"/>
                        </wps:style>
                        <wps:bodyPr/>
                      </wps:wsp>
                    </wpg:wgp>
                  </a:graphicData>
                </a:graphic>
              </wp:inline>
            </w:drawing>
          </mc:Choice>
          <mc:Fallback xmlns:a="http://schemas.openxmlformats.org/drawingml/2006/main">
            <w:pict>
              <v:group id="Group 34659" style="width:7.31799pt;height:7.31799pt;mso-position-horizontal-relative:char;mso-position-vertical-relative:line" coordsize="929,929">
                <v:shape id="Shape 3570" style="position:absolute;width:929;height:929;left:0;top:0;" coordsize="92939,92939" path="m0,92939l92939,92939l92939,0l0,0x">
                  <v:stroke weight="0.5pt" endcap="flat" joinstyle="miter" miterlimit="10" on="true" color="#563c80"/>
                  <v:fill on="false" color="#000000" opacity="0"/>
                </v:shape>
                <v:shape id="Shape 3571" style="position:absolute;width:521;height:521;left:204;top:204;" coordsize="52121,52108" path="m26060,0c40446,0,52121,11673,52121,26054c52121,40436,40446,52108,26060,52108c11675,52108,0,40436,0,26054c0,11673,11675,0,26060,0x">
                  <v:stroke weight="0pt" endcap="flat" joinstyle="miter" miterlimit="10" on="false" color="#000000" opacity="0"/>
                  <v:fill on="true" color="#563c80"/>
                </v:shape>
              </v:group>
            </w:pict>
          </mc:Fallback>
        </mc:AlternateContent>
      </w:r>
      <w:r>
        <w:t xml:space="preserve"> </w:t>
      </w:r>
    </w:p>
    <w:p w14:paraId="7CCCBEC7" w14:textId="77777777" w:rsidR="006F0DDB" w:rsidRDefault="00000000">
      <w:pPr>
        <w:spacing w:after="0" w:line="259" w:lineRule="auto"/>
        <w:ind w:left="15" w:right="0" w:hanging="10"/>
        <w:jc w:val="left"/>
      </w:pPr>
      <w:r>
        <w:rPr>
          <w:sz w:val="18"/>
        </w:rPr>
        <w:t xml:space="preserve">References </w:t>
      </w:r>
    </w:p>
    <w:p w14:paraId="55BFD619" w14:textId="77777777" w:rsidR="006F0DDB" w:rsidRDefault="00000000">
      <w:pPr>
        <w:spacing w:line="234" w:lineRule="auto"/>
        <w:ind w:left="375" w:right="0" w:hanging="370"/>
      </w:pPr>
      <w:r>
        <w:rPr>
          <w:sz w:val="16"/>
        </w:rPr>
        <w:t xml:space="preserve">American Occupational Therapy Association. (2021). Occupational therapy scope of practice. </w:t>
      </w:r>
      <w:r>
        <w:rPr>
          <w:i/>
          <w:sz w:val="16"/>
        </w:rPr>
        <w:t>American Journal of Occupational Therapy, 75</w:t>
      </w:r>
      <w:r>
        <w:rPr>
          <w:sz w:val="16"/>
        </w:rPr>
        <w:t>(3),</w:t>
      </w:r>
      <w:r>
        <w:rPr>
          <w:i/>
          <w:sz w:val="16"/>
        </w:rPr>
        <w:t xml:space="preserve"> </w:t>
      </w:r>
      <w:r>
        <w:rPr>
          <w:sz w:val="16"/>
        </w:rPr>
        <w:t xml:space="preserve">7513410020. https://doi.org/10.5014/ajot.2021.75S3005 </w:t>
      </w:r>
    </w:p>
    <w:p w14:paraId="3B855606" w14:textId="77777777" w:rsidR="006F0DDB" w:rsidRDefault="00000000">
      <w:pPr>
        <w:spacing w:line="234" w:lineRule="auto"/>
        <w:ind w:left="375" w:right="0" w:hanging="370"/>
      </w:pPr>
      <w:r>
        <w:rPr>
          <w:sz w:val="16"/>
        </w:rPr>
        <w:t xml:space="preserve">Brewer, B. (2020). </w:t>
      </w:r>
      <w:r>
        <w:rPr>
          <w:i/>
          <w:sz w:val="16"/>
        </w:rPr>
        <w:t>Understanding C6 spinal cord injury: What to expect and how to recover</w:t>
      </w:r>
      <w:r>
        <w:rPr>
          <w:sz w:val="16"/>
        </w:rPr>
        <w:t xml:space="preserve">. https://www.flintrehab.com/c6-spinal-cord-injury/ </w:t>
      </w:r>
    </w:p>
    <w:p w14:paraId="0541EEF6" w14:textId="77777777" w:rsidR="006F0DDB" w:rsidRDefault="00000000">
      <w:pPr>
        <w:spacing w:line="234" w:lineRule="auto"/>
        <w:ind w:left="5" w:right="0" w:firstLine="0"/>
      </w:pPr>
      <w:r>
        <w:rPr>
          <w:sz w:val="16"/>
        </w:rPr>
        <w:t xml:space="preserve">Community Medical Products. (2021a). </w:t>
      </w:r>
      <w:r>
        <w:rPr>
          <w:i/>
          <w:sz w:val="16"/>
        </w:rPr>
        <w:t>Asta Cath female catheter guide.</w:t>
      </w:r>
      <w:r>
        <w:rPr>
          <w:sz w:val="16"/>
        </w:rPr>
        <w:t xml:space="preserve"> </w:t>
      </w:r>
    </w:p>
    <w:p w14:paraId="4D79117B" w14:textId="77777777" w:rsidR="006F0DDB" w:rsidRDefault="00000000">
      <w:pPr>
        <w:spacing w:line="234" w:lineRule="auto"/>
        <w:ind w:left="360" w:right="0" w:firstLine="0"/>
      </w:pPr>
      <w:r>
        <w:rPr>
          <w:sz w:val="16"/>
        </w:rPr>
        <w:t xml:space="preserve">http://commedpro.com/product/asta-cath-female-catheter-guide </w:t>
      </w:r>
    </w:p>
    <w:p w14:paraId="38A08BC7" w14:textId="77777777" w:rsidR="006F0DDB" w:rsidRDefault="00000000">
      <w:pPr>
        <w:spacing w:line="234" w:lineRule="auto"/>
        <w:ind w:left="375" w:right="0" w:hanging="370"/>
      </w:pPr>
      <w:r>
        <w:rPr>
          <w:sz w:val="16"/>
        </w:rPr>
        <w:t xml:space="preserve">Community Medical Products. (2021b). </w:t>
      </w:r>
      <w:r>
        <w:rPr>
          <w:i/>
          <w:sz w:val="16"/>
        </w:rPr>
        <w:t>MiWay™ self catheterization pants holder aka “Betty Hook”.</w:t>
      </w:r>
      <w:r>
        <w:rPr>
          <w:sz w:val="16"/>
        </w:rPr>
        <w:t xml:space="preserve"> https://commedpro.com/product/ miway-self-cath-pants-holder/  </w:t>
      </w:r>
    </w:p>
    <w:p w14:paraId="021F20F2" w14:textId="77777777" w:rsidR="006F0DDB" w:rsidRDefault="00000000">
      <w:pPr>
        <w:spacing w:line="234" w:lineRule="auto"/>
        <w:ind w:left="375" w:right="0" w:hanging="370"/>
      </w:pPr>
      <w:r>
        <w:rPr>
          <w:sz w:val="16"/>
        </w:rPr>
        <w:t xml:space="preserve">Giles, G. (2017). Occupational therapy’s role with adult cognitive disorders. </w:t>
      </w:r>
      <w:r>
        <w:rPr>
          <w:i/>
          <w:sz w:val="16"/>
        </w:rPr>
        <w:t xml:space="preserve">American Occupational Therapy Association. </w:t>
      </w:r>
      <w:r>
        <w:rPr>
          <w:sz w:val="16"/>
        </w:rPr>
        <w:t>https://irp.cdnwebsite.com/de1c86c3/files/uploaded/Neuro%20fact%20sheet%</w:t>
      </w:r>
    </w:p>
    <w:p w14:paraId="7F3F9A9C" w14:textId="77777777" w:rsidR="006F0DDB" w:rsidRDefault="00000000">
      <w:pPr>
        <w:spacing w:line="234" w:lineRule="auto"/>
        <w:ind w:left="360" w:right="0" w:firstLine="0"/>
      </w:pPr>
      <w:r>
        <w:rPr>
          <w:sz w:val="16"/>
        </w:rPr>
        <w:t>20AOTA.pdf</w:t>
      </w:r>
      <w:r>
        <w:rPr>
          <w:i/>
          <w:sz w:val="16"/>
        </w:rPr>
        <w:t xml:space="preserve"> </w:t>
      </w:r>
    </w:p>
    <w:p w14:paraId="461B4371" w14:textId="77777777" w:rsidR="006F0DDB" w:rsidRDefault="00000000">
      <w:pPr>
        <w:spacing w:line="234" w:lineRule="auto"/>
        <w:ind w:left="375" w:right="0" w:hanging="370"/>
      </w:pPr>
      <w:r>
        <w:rPr>
          <w:sz w:val="16"/>
        </w:rPr>
        <w:t xml:space="preserve">Model Systems Knowledge Translation Center. (2023). </w:t>
      </w:r>
      <w:r>
        <w:rPr>
          <w:i/>
          <w:sz w:val="16"/>
        </w:rPr>
        <w:t>Cognitive problems after traumatic brain injury.</w:t>
      </w:r>
      <w:r>
        <w:rPr>
          <w:sz w:val="16"/>
        </w:rPr>
        <w:t xml:space="preserve"> https://msktc.org/tbi/factsheets/ cognitive-problems-after-traumatic-brain-injury </w:t>
      </w:r>
    </w:p>
    <w:p w14:paraId="1EF71EB1" w14:textId="77777777" w:rsidR="006F0DDB" w:rsidRDefault="00000000">
      <w:pPr>
        <w:spacing w:line="234" w:lineRule="auto"/>
        <w:ind w:left="375" w:right="0" w:hanging="370"/>
      </w:pPr>
      <w:r>
        <w:rPr>
          <w:sz w:val="16"/>
        </w:rPr>
        <w:t xml:space="preserve">Rehabilitation Advantage. (n.d.). </w:t>
      </w:r>
      <w:r>
        <w:rPr>
          <w:i/>
          <w:sz w:val="16"/>
        </w:rPr>
        <w:t xml:space="preserve">Quadriplegic independent catheter inserter. </w:t>
      </w:r>
      <w:r>
        <w:rPr>
          <w:sz w:val="16"/>
        </w:rPr>
        <w:t xml:space="preserve">https://rehabilitationadvantage.com/product/quadriplegicindependent-catheter-inserter/ </w:t>
      </w:r>
    </w:p>
    <w:p w14:paraId="09614193" w14:textId="77777777" w:rsidR="006F0DDB" w:rsidRDefault="00000000">
      <w:pPr>
        <w:spacing w:after="276" w:line="234" w:lineRule="auto"/>
        <w:ind w:left="375" w:right="0" w:hanging="370"/>
      </w:pPr>
      <w:r>
        <w:rPr>
          <w:sz w:val="16"/>
        </w:rPr>
        <w:t xml:space="preserve">The Wright Stuff. (n.d.) </w:t>
      </w:r>
      <w:r>
        <w:rPr>
          <w:i/>
          <w:sz w:val="16"/>
        </w:rPr>
        <w:t>Adapted scissors</w:t>
      </w:r>
      <w:r>
        <w:rPr>
          <w:sz w:val="16"/>
        </w:rPr>
        <w:t>. https://www.thewrightstuff. com/adaptive-scissors.html</w:t>
      </w:r>
    </w:p>
    <w:p w14:paraId="731D4CA3" w14:textId="77777777" w:rsidR="006F0DDB" w:rsidRDefault="00000000">
      <w:pPr>
        <w:spacing w:before="245" w:line="234" w:lineRule="auto"/>
        <w:ind w:left="375" w:right="0" w:hanging="370"/>
      </w:pPr>
      <w:r>
        <w:rPr>
          <w:sz w:val="16"/>
        </w:rPr>
        <w:t xml:space="preserve">Sloan, J., Symonds, T., Vargas-Chanes, D., &amp; Fridley, B. (2003). Practical guidelines for assessing the clinical significance of health-related quality of life changes within clinical trials. </w:t>
      </w:r>
      <w:r>
        <w:rPr>
          <w:i/>
          <w:sz w:val="16"/>
        </w:rPr>
        <w:t xml:space="preserve">Drug </w:t>
      </w:r>
    </w:p>
    <w:p w14:paraId="4611F7CF" w14:textId="77777777" w:rsidR="006F0DDB" w:rsidRDefault="00000000">
      <w:pPr>
        <w:spacing w:line="234" w:lineRule="auto"/>
        <w:ind w:left="360" w:right="0" w:firstLine="0"/>
      </w:pPr>
      <w:r>
        <w:rPr>
          <w:i/>
          <w:sz w:val="16"/>
        </w:rPr>
        <w:t>Information Journal</w:t>
      </w:r>
      <w:r>
        <w:rPr>
          <w:sz w:val="16"/>
        </w:rPr>
        <w:t xml:space="preserve">, </w:t>
      </w:r>
      <w:r>
        <w:rPr>
          <w:i/>
          <w:sz w:val="16"/>
        </w:rPr>
        <w:t>37</w:t>
      </w:r>
      <w:r>
        <w:rPr>
          <w:sz w:val="16"/>
        </w:rPr>
        <w:t xml:space="preserve">(1), 23-31. https://doi.org/10.1177/0092 86150303700105 </w:t>
      </w:r>
    </w:p>
    <w:p w14:paraId="3A5C9DEF" w14:textId="77777777" w:rsidR="006F0DDB" w:rsidRDefault="00000000">
      <w:pPr>
        <w:spacing w:line="234" w:lineRule="auto"/>
        <w:ind w:left="375" w:right="0" w:hanging="370"/>
      </w:pPr>
      <w:r>
        <w:rPr>
          <w:sz w:val="16"/>
        </w:rPr>
        <w:t xml:space="preserve">Society of Urologic Nurses and Associates. (2021). </w:t>
      </w:r>
      <w:r>
        <w:rPr>
          <w:i/>
          <w:sz w:val="16"/>
        </w:rPr>
        <w:t>Clinical practice procedures.</w:t>
      </w:r>
      <w:r>
        <w:rPr>
          <w:sz w:val="16"/>
        </w:rPr>
        <w:t xml:space="preserve"> https://www.suna.org/resources/clinical-practice </w:t>
      </w:r>
    </w:p>
    <w:p w14:paraId="0E23BC95" w14:textId="77777777" w:rsidR="006F0DDB" w:rsidRDefault="00000000">
      <w:pPr>
        <w:spacing w:line="234" w:lineRule="auto"/>
        <w:ind w:left="375" w:right="0" w:hanging="370"/>
      </w:pPr>
      <w:r>
        <w:rPr>
          <w:sz w:val="16"/>
        </w:rPr>
        <w:t xml:space="preserve">Stickler, D.J. (2014). Clinical complications of urinary catheters caused by crystalline biofilms: Something needs to be done. </w:t>
      </w:r>
      <w:r>
        <w:rPr>
          <w:i/>
          <w:sz w:val="16"/>
        </w:rPr>
        <w:t>Journal of Internal Medicine,</w:t>
      </w:r>
      <w:r>
        <w:rPr>
          <w:sz w:val="16"/>
        </w:rPr>
        <w:t xml:space="preserve"> </w:t>
      </w:r>
      <w:r>
        <w:rPr>
          <w:i/>
          <w:sz w:val="16"/>
        </w:rPr>
        <w:t>276</w:t>
      </w:r>
      <w:r>
        <w:rPr>
          <w:sz w:val="16"/>
        </w:rPr>
        <w:t xml:space="preserve">(2), 120-129. </w:t>
      </w:r>
      <w:proofErr w:type="gramStart"/>
      <w:r>
        <w:rPr>
          <w:sz w:val="16"/>
        </w:rPr>
        <w:t>https://doi.org/10.1111/  joim</w:t>
      </w:r>
      <w:proofErr w:type="gramEnd"/>
      <w:r>
        <w:rPr>
          <w:sz w:val="16"/>
        </w:rPr>
        <w:t xml:space="preserve">.12220 </w:t>
      </w:r>
    </w:p>
    <w:p w14:paraId="0C06630B" w14:textId="77777777" w:rsidR="006F0DDB" w:rsidRDefault="00000000">
      <w:pPr>
        <w:spacing w:line="234" w:lineRule="auto"/>
        <w:ind w:left="375" w:right="0" w:hanging="370"/>
      </w:pPr>
      <w:r>
        <w:rPr>
          <w:sz w:val="16"/>
        </w:rPr>
        <w:t xml:space="preserve">Tsan, L., Langberg, R., Davis, C., Phillips, Y., Pierce, J., Hojlo, C., Gibert, C., Gaynes, R., Montgomery, O., Bradley, S., Danko, L., &amp; Roselle, G. (2010). Nursing home-associated infections in Department of Veterans Affairs community living centers. </w:t>
      </w:r>
    </w:p>
    <w:p w14:paraId="6C125856" w14:textId="77777777" w:rsidR="006F0DDB" w:rsidRDefault="00000000">
      <w:pPr>
        <w:spacing w:line="234" w:lineRule="auto"/>
        <w:ind w:left="360" w:right="0" w:firstLine="0"/>
      </w:pPr>
      <w:r>
        <w:rPr>
          <w:i/>
          <w:sz w:val="16"/>
        </w:rPr>
        <w:t>American Journal of Infection Control, 38</w:t>
      </w:r>
      <w:r>
        <w:rPr>
          <w:sz w:val="16"/>
        </w:rPr>
        <w:t xml:space="preserve">(6), 461-466. https://doi. org/10.1016/j.ajic.2009.12.009 </w:t>
      </w:r>
    </w:p>
    <w:p w14:paraId="16D3D60D" w14:textId="77777777" w:rsidR="006F0DDB" w:rsidRDefault="00000000">
      <w:pPr>
        <w:spacing w:line="234" w:lineRule="auto"/>
        <w:ind w:left="375" w:right="0" w:hanging="370"/>
      </w:pPr>
      <w:r>
        <w:rPr>
          <w:sz w:val="16"/>
        </w:rPr>
        <w:t xml:space="preserve">Wilde, M.H., &amp; Cameron, B.L. (2003). Meanings and practical knowledge of people with long-term urinary catheters. </w:t>
      </w:r>
      <w:r>
        <w:rPr>
          <w:i/>
          <w:sz w:val="16"/>
        </w:rPr>
        <w:t>Journal of Wound, Ostomy, and Continence Nursing</w:t>
      </w:r>
      <w:r>
        <w:rPr>
          <w:sz w:val="16"/>
        </w:rPr>
        <w:t xml:space="preserve">, </w:t>
      </w:r>
      <w:r>
        <w:rPr>
          <w:i/>
          <w:sz w:val="16"/>
        </w:rPr>
        <w:t>30</w:t>
      </w:r>
      <w:r>
        <w:rPr>
          <w:sz w:val="16"/>
        </w:rPr>
        <w:t xml:space="preserve">(1), 33-40. https:// doi.org/10.1067/mjw.2003.6 </w:t>
      </w:r>
    </w:p>
    <w:p w14:paraId="57C77F79" w14:textId="77777777" w:rsidR="006F0DDB" w:rsidRDefault="00000000">
      <w:pPr>
        <w:spacing w:line="234" w:lineRule="auto"/>
        <w:ind w:left="375" w:right="0" w:hanging="370"/>
      </w:pPr>
      <w:r>
        <w:rPr>
          <w:sz w:val="16"/>
        </w:rPr>
        <w:t xml:space="preserve">Wilde, M.H., McMahon, J.M., Crean, H.F., &amp; Brasch, J. (2017). Exploring relationships of catheter-associated urinary tract infection and blockage in people with long-term indwelling urinary catheters. </w:t>
      </w:r>
      <w:r>
        <w:rPr>
          <w:i/>
          <w:sz w:val="16"/>
        </w:rPr>
        <w:t>Journal of Clinical Nursing</w:t>
      </w:r>
      <w:r>
        <w:rPr>
          <w:sz w:val="16"/>
        </w:rPr>
        <w:t xml:space="preserve">, </w:t>
      </w:r>
      <w:r>
        <w:rPr>
          <w:i/>
          <w:sz w:val="16"/>
        </w:rPr>
        <w:t>26</w:t>
      </w:r>
      <w:r>
        <w:rPr>
          <w:sz w:val="16"/>
        </w:rPr>
        <w:t xml:space="preserve">(17-18), 2558-2571. </w:t>
      </w:r>
    </w:p>
    <w:p w14:paraId="1B721B21" w14:textId="77777777" w:rsidR="006F0DDB" w:rsidRDefault="00000000">
      <w:pPr>
        <w:spacing w:line="234" w:lineRule="auto"/>
        <w:ind w:left="360" w:right="0" w:firstLine="0"/>
      </w:pPr>
      <w:r>
        <w:rPr>
          <w:sz w:val="16"/>
        </w:rPr>
        <w:t>https://doi.org/10.1111/jocn.13626</w:t>
      </w:r>
    </w:p>
    <w:sectPr w:rsidR="006F0DDB">
      <w:headerReference w:type="even" r:id="rId15"/>
      <w:headerReference w:type="default" r:id="rId16"/>
      <w:footerReference w:type="even" r:id="rId17"/>
      <w:footerReference w:type="default" r:id="rId18"/>
      <w:headerReference w:type="first" r:id="rId19"/>
      <w:footerReference w:type="first" r:id="rId20"/>
      <w:pgSz w:w="11700" w:h="15660"/>
      <w:pgMar w:top="1440" w:right="960" w:bottom="1440" w:left="980" w:header="1220" w:footer="280" w:gutter="0"/>
      <w:cols w:num="2" w:space="32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DA683" w14:textId="77777777" w:rsidR="00931AEB" w:rsidRDefault="00931AEB">
      <w:pPr>
        <w:spacing w:after="0" w:line="240" w:lineRule="auto"/>
      </w:pPr>
      <w:r>
        <w:separator/>
      </w:r>
    </w:p>
  </w:endnote>
  <w:endnote w:type="continuationSeparator" w:id="0">
    <w:p w14:paraId="67C701D1" w14:textId="77777777" w:rsidR="00931AEB" w:rsidRDefault="00931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40EBCD" w14:textId="77777777" w:rsidR="006F0DDB" w:rsidRDefault="00000000">
    <w:pPr>
      <w:spacing w:after="0" w:line="259" w:lineRule="auto"/>
      <w:ind w:left="0" w:right="-56" w:firstLine="0"/>
      <w:jc w:val="right"/>
    </w:pPr>
    <w:r>
      <w:rPr>
        <w:rFonts w:ascii="Calibri" w:eastAsia="Calibri" w:hAnsi="Calibri" w:cs="Calibri"/>
        <w:noProof/>
        <w:color w:val="000000"/>
        <w:sz w:val="22"/>
      </w:rPr>
      <mc:AlternateContent>
        <mc:Choice Requires="wpg">
          <w:drawing>
            <wp:anchor distT="0" distB="0" distL="114300" distR="114300" simplePos="0" relativeHeight="251660288" behindDoc="0" locked="0" layoutInCell="1" allowOverlap="1" wp14:anchorId="7E85EB6E" wp14:editId="72A5CECC">
              <wp:simplePos x="0" y="0"/>
              <wp:positionH relativeFrom="page">
                <wp:posOffset>609600</wp:posOffset>
              </wp:positionH>
              <wp:positionV relativeFrom="page">
                <wp:posOffset>9550400</wp:posOffset>
              </wp:positionV>
              <wp:extent cx="6210300" cy="12700"/>
              <wp:effectExtent l="0" t="0" r="0" b="0"/>
              <wp:wrapSquare wrapText="bothSides"/>
              <wp:docPr id="38458" name="Group 38458"/>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459" name="Shape 38459"/>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458" style="width:489pt;height:1pt;position:absolute;mso-position-horizontal-relative:page;mso-position-horizontal:absolute;margin-left:48pt;mso-position-vertical-relative:page;margin-top:752pt;" coordsize="62103,127">
              <v:shape id="Shape 38459" style="position:absolute;width:62103;height:0;left:0;top:0;" coordsize="6210300,0" path="m0,0l6210300,0">
                <v:stroke weight="1pt" endcap="flat" joinstyle="miter" miterlimit="10" on="true" color="#8982b3"/>
                <v:fill on="false" color="#000000" opacity="0"/>
              </v:shape>
              <w10:wrap type="square"/>
            </v:group>
          </w:pict>
        </mc:Fallback>
      </mc:AlternateContent>
    </w:r>
    <w:r>
      <w:t xml:space="preserve"> </w:t>
    </w:r>
  </w:p>
  <w:p w14:paraId="6AA2E300" w14:textId="77777777" w:rsidR="006F0DDB" w:rsidRDefault="00000000">
    <w:pPr>
      <w:spacing w:after="469" w:line="259" w:lineRule="auto"/>
      <w:ind w:left="0" w:right="-56" w:firstLine="0"/>
      <w:jc w:val="right"/>
    </w:pPr>
    <w:r>
      <w:t xml:space="preserve"> </w:t>
    </w:r>
  </w:p>
  <w:p w14:paraId="05EB6B71" w14:textId="77777777" w:rsidR="006F0DDB" w:rsidRDefault="00000000">
    <w:pPr>
      <w:tabs>
        <w:tab w:val="right" w:pos="9760"/>
      </w:tabs>
      <w:spacing w:after="0" w:line="259" w:lineRule="auto"/>
      <w:ind w:left="0" w:right="0" w:firstLine="0"/>
      <w:jc w:val="left"/>
    </w:pPr>
    <w:r>
      <w:fldChar w:fldCharType="begin"/>
    </w:r>
    <w:r>
      <w:instrText xml:space="preserve"> PAGE   \* MERGEFORMAT </w:instrText>
    </w:r>
    <w:r>
      <w:fldChar w:fldCharType="separate"/>
    </w:r>
    <w:r>
      <w:rPr>
        <w:b/>
      </w:rPr>
      <w:t>164</w:t>
    </w:r>
    <w:r>
      <w:rPr>
        <w:b/>
      </w:rPr>
      <w:fldChar w:fldCharType="end"/>
    </w:r>
    <w:r>
      <w:rPr>
        <w:b/>
      </w:rPr>
      <w:tab/>
    </w:r>
    <w:r>
      <w:rPr>
        <w:color w:val="563C80"/>
        <w:sz w:val="16"/>
      </w:rPr>
      <w:t>Urologic Nursing</w:t>
    </w:r>
    <w:r>
      <w:rPr>
        <w:rFonts w:ascii="Arial" w:eastAsia="Arial" w:hAnsi="Arial" w:cs="Arial"/>
        <w:sz w:val="15"/>
      </w:rPr>
      <w:t xml:space="preserve"> / July-August 2023 / Volume 43 Number 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397DF" w14:textId="77777777" w:rsidR="006F0DDB" w:rsidRDefault="00000000">
    <w:pPr>
      <w:tabs>
        <w:tab w:val="right" w:pos="9760"/>
      </w:tabs>
      <w:spacing w:after="0" w:line="259" w:lineRule="auto"/>
      <w:ind w:left="0" w:right="0" w:firstLine="0"/>
      <w:jc w:val="left"/>
    </w:pPr>
    <w:r>
      <w:rPr>
        <w:rFonts w:ascii="Calibri" w:eastAsia="Calibri" w:hAnsi="Calibri" w:cs="Calibri"/>
        <w:noProof/>
        <w:color w:val="000000"/>
        <w:sz w:val="22"/>
      </w:rPr>
      <mc:AlternateContent>
        <mc:Choice Requires="wpg">
          <w:drawing>
            <wp:anchor distT="0" distB="0" distL="114300" distR="114300" simplePos="0" relativeHeight="251661312" behindDoc="0" locked="0" layoutInCell="1" allowOverlap="1" wp14:anchorId="5DFB616B" wp14:editId="0FD522B6">
              <wp:simplePos x="0" y="0"/>
              <wp:positionH relativeFrom="page">
                <wp:posOffset>609600</wp:posOffset>
              </wp:positionH>
              <wp:positionV relativeFrom="page">
                <wp:posOffset>9550400</wp:posOffset>
              </wp:positionV>
              <wp:extent cx="6210300" cy="12700"/>
              <wp:effectExtent l="0" t="0" r="0" b="0"/>
              <wp:wrapSquare wrapText="bothSides"/>
              <wp:docPr id="38442" name="Group 38442"/>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443" name="Shape 38443"/>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442" style="width:489pt;height:1pt;position:absolute;mso-position-horizontal-relative:page;mso-position-horizontal:absolute;margin-left:48pt;mso-position-vertical-relative:page;margin-top:752pt;" coordsize="62103,127">
              <v:shape id="Shape 38443" style="position:absolute;width:62103;height:0;left:0;top:0;" coordsize="6210300,0" path="m0,0l6210300,0">
                <v:stroke weight="1pt" endcap="flat" joinstyle="miter" miterlimit="10" on="true" color="#8982b3"/>
                <v:fill on="false" color="#000000" opacity="0"/>
              </v:shape>
              <w10:wrap type="square"/>
            </v:group>
          </w:pict>
        </mc:Fallback>
      </mc:AlternateContent>
    </w:r>
    <w:r>
      <w:rPr>
        <w:color w:val="563C80"/>
        <w:sz w:val="16"/>
      </w:rPr>
      <w:t>Urologic Nursing</w:t>
    </w:r>
    <w:r>
      <w:rPr>
        <w:rFonts w:ascii="Arial" w:eastAsia="Arial" w:hAnsi="Arial" w:cs="Arial"/>
        <w:sz w:val="15"/>
      </w:rPr>
      <w:t xml:space="preserve"> / July-August 2023 / Volume 43 Number 4</w:t>
    </w:r>
    <w:r>
      <w:rPr>
        <w:rFonts w:ascii="Arial" w:eastAsia="Arial" w:hAnsi="Arial" w:cs="Arial"/>
        <w:sz w:val="15"/>
      </w:rPr>
      <w:tab/>
    </w:r>
    <w:r>
      <w:fldChar w:fldCharType="begin"/>
    </w:r>
    <w:r>
      <w:instrText xml:space="preserve"> PAGE   \* MERGEFORMAT </w:instrText>
    </w:r>
    <w:r>
      <w:fldChar w:fldCharType="separate"/>
    </w:r>
    <w:r>
      <w:rPr>
        <w:b/>
      </w:rPr>
      <w:t>163</w:t>
    </w:r>
    <w:r>
      <w:rPr>
        <w: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61413" w14:textId="77777777" w:rsidR="006F0DDB" w:rsidRDefault="00000000">
    <w:pPr>
      <w:tabs>
        <w:tab w:val="right" w:pos="9760"/>
      </w:tabs>
      <w:spacing w:after="0" w:line="259" w:lineRule="auto"/>
      <w:ind w:left="0" w:right="0" w:firstLine="0"/>
      <w:jc w:val="left"/>
    </w:pPr>
    <w:r>
      <w:rPr>
        <w:rFonts w:ascii="Calibri" w:eastAsia="Calibri" w:hAnsi="Calibri" w:cs="Calibri"/>
        <w:noProof/>
        <w:color w:val="000000"/>
        <w:sz w:val="22"/>
      </w:rPr>
      <mc:AlternateContent>
        <mc:Choice Requires="wpg">
          <w:drawing>
            <wp:anchor distT="0" distB="0" distL="114300" distR="114300" simplePos="0" relativeHeight="251662336" behindDoc="0" locked="0" layoutInCell="1" allowOverlap="1" wp14:anchorId="7EA1559D" wp14:editId="0E5E5C67">
              <wp:simplePos x="0" y="0"/>
              <wp:positionH relativeFrom="page">
                <wp:posOffset>609600</wp:posOffset>
              </wp:positionH>
              <wp:positionV relativeFrom="page">
                <wp:posOffset>9550400</wp:posOffset>
              </wp:positionV>
              <wp:extent cx="6210300" cy="12700"/>
              <wp:effectExtent l="0" t="0" r="0" b="0"/>
              <wp:wrapSquare wrapText="bothSides"/>
              <wp:docPr id="38423" name="Group 38423"/>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424" name="Shape 38424"/>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423" style="width:489pt;height:1pt;position:absolute;mso-position-horizontal-relative:page;mso-position-horizontal:absolute;margin-left:48pt;mso-position-vertical-relative:page;margin-top:752pt;" coordsize="62103,127">
              <v:shape id="Shape 38424" style="position:absolute;width:62103;height:0;left:0;top:0;" coordsize="6210300,0" path="m0,0l6210300,0">
                <v:stroke weight="1pt" endcap="flat" joinstyle="miter" miterlimit="10" on="true" color="#8982b3"/>
                <v:fill on="false" color="#000000" opacity="0"/>
              </v:shape>
              <w10:wrap type="square"/>
            </v:group>
          </w:pict>
        </mc:Fallback>
      </mc:AlternateContent>
    </w:r>
    <w:r>
      <w:fldChar w:fldCharType="begin"/>
    </w:r>
    <w:r>
      <w:instrText xml:space="preserve"> PAGE   \* MERGEFORMAT </w:instrText>
    </w:r>
    <w:r>
      <w:fldChar w:fldCharType="separate"/>
    </w:r>
    <w:r>
      <w:rPr>
        <w:b/>
      </w:rPr>
      <w:t>162</w:t>
    </w:r>
    <w:r>
      <w:rPr>
        <w:b/>
      </w:rPr>
      <w:fldChar w:fldCharType="end"/>
    </w:r>
    <w:r>
      <w:rPr>
        <w:b/>
      </w:rPr>
      <w:tab/>
    </w:r>
    <w:r>
      <w:rPr>
        <w:color w:val="563C80"/>
        <w:sz w:val="16"/>
      </w:rPr>
      <w:t>Urologic Nursing</w:t>
    </w:r>
    <w:r>
      <w:rPr>
        <w:rFonts w:ascii="Arial" w:eastAsia="Arial" w:hAnsi="Arial" w:cs="Arial"/>
        <w:sz w:val="15"/>
      </w:rPr>
      <w:t xml:space="preserve"> / July-August 2023 / Volume 43 Number 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D61A9" w14:textId="77777777" w:rsidR="006F0DDB" w:rsidRDefault="00000000">
    <w:pPr>
      <w:spacing w:after="0" w:line="259" w:lineRule="auto"/>
      <w:ind w:left="0" w:right="21" w:firstLine="0"/>
      <w:jc w:val="right"/>
    </w:pPr>
    <w:r>
      <w:rPr>
        <w:rFonts w:ascii="Calibri" w:eastAsia="Calibri" w:hAnsi="Calibri" w:cs="Calibri"/>
        <w:noProof/>
        <w:color w:val="000000"/>
        <w:sz w:val="22"/>
      </w:rPr>
      <mc:AlternateContent>
        <mc:Choice Requires="wpg">
          <w:drawing>
            <wp:anchor distT="0" distB="0" distL="114300" distR="114300" simplePos="0" relativeHeight="251666432" behindDoc="0" locked="0" layoutInCell="1" allowOverlap="1" wp14:anchorId="2D48CDA1" wp14:editId="5D0570B4">
              <wp:simplePos x="0" y="0"/>
              <wp:positionH relativeFrom="page">
                <wp:posOffset>609600</wp:posOffset>
              </wp:positionH>
              <wp:positionV relativeFrom="page">
                <wp:posOffset>9550400</wp:posOffset>
              </wp:positionV>
              <wp:extent cx="6210300" cy="12700"/>
              <wp:effectExtent l="0" t="0" r="0" b="0"/>
              <wp:wrapSquare wrapText="bothSides"/>
              <wp:docPr id="38525" name="Group 38525"/>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526" name="Shape 38526"/>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525" style="width:489pt;height:1pt;position:absolute;mso-position-horizontal-relative:page;mso-position-horizontal:absolute;margin-left:48pt;mso-position-vertical-relative:page;margin-top:752pt;" coordsize="62103,127">
              <v:shape id="Shape 38526" style="position:absolute;width:62103;height:0;left:0;top:0;" coordsize="6210300,0" path="m0,0l6210300,0">
                <v:stroke weight="1pt" endcap="flat" joinstyle="miter" miterlimit="10" on="true" color="#8982b3"/>
                <v:fill on="false" color="#000000" opacity="0"/>
              </v:shape>
              <w10:wrap type="square"/>
            </v:group>
          </w:pict>
        </mc:Fallback>
      </mc:AlternateContent>
    </w:r>
    <w:r>
      <w:rPr>
        <w:color w:val="563C80"/>
        <w:sz w:val="16"/>
      </w:rPr>
      <w:t>Urologic Nursing</w:t>
    </w:r>
    <w:r>
      <w:rPr>
        <w:rFonts w:ascii="Arial" w:eastAsia="Arial" w:hAnsi="Arial" w:cs="Arial"/>
        <w:sz w:val="15"/>
      </w:rPr>
      <w:t xml:space="preserve"> / July-August 2023 / Volume 43 Number 4</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E7C5" w14:textId="77777777" w:rsidR="006F0DDB" w:rsidRDefault="00000000">
    <w:pPr>
      <w:spacing w:after="0" w:line="259" w:lineRule="auto"/>
      <w:ind w:left="0" w:right="21" w:firstLine="0"/>
      <w:jc w:val="right"/>
    </w:pPr>
    <w:r>
      <w:rPr>
        <w:rFonts w:ascii="Calibri" w:eastAsia="Calibri" w:hAnsi="Calibri" w:cs="Calibri"/>
        <w:noProof/>
        <w:color w:val="000000"/>
        <w:sz w:val="22"/>
      </w:rPr>
      <mc:AlternateContent>
        <mc:Choice Requires="wpg">
          <w:drawing>
            <wp:anchor distT="0" distB="0" distL="114300" distR="114300" simplePos="0" relativeHeight="251667456" behindDoc="0" locked="0" layoutInCell="1" allowOverlap="1" wp14:anchorId="34C193B7" wp14:editId="014CA3A8">
              <wp:simplePos x="0" y="0"/>
              <wp:positionH relativeFrom="page">
                <wp:posOffset>609600</wp:posOffset>
              </wp:positionH>
              <wp:positionV relativeFrom="page">
                <wp:posOffset>9550400</wp:posOffset>
              </wp:positionV>
              <wp:extent cx="6210300" cy="12700"/>
              <wp:effectExtent l="0" t="0" r="0" b="0"/>
              <wp:wrapSquare wrapText="bothSides"/>
              <wp:docPr id="38510" name="Group 38510"/>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511" name="Shape 38511"/>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510" style="width:489pt;height:1pt;position:absolute;mso-position-horizontal-relative:page;mso-position-horizontal:absolute;margin-left:48pt;mso-position-vertical-relative:page;margin-top:752pt;" coordsize="62103,127">
              <v:shape id="Shape 38511" style="position:absolute;width:62103;height:0;left:0;top:0;" coordsize="6210300,0" path="m0,0l6210300,0">
                <v:stroke weight="1pt" endcap="flat" joinstyle="miter" miterlimit="10" on="true" color="#8982b3"/>
                <v:fill on="false" color="#000000" opacity="0"/>
              </v:shape>
              <w10:wrap type="square"/>
            </v:group>
          </w:pict>
        </mc:Fallback>
      </mc:AlternateContent>
    </w:r>
    <w:r>
      <w:rPr>
        <w:color w:val="563C80"/>
        <w:sz w:val="16"/>
      </w:rPr>
      <w:t>Urologic Nursing</w:t>
    </w:r>
    <w:r>
      <w:rPr>
        <w:rFonts w:ascii="Arial" w:eastAsia="Arial" w:hAnsi="Arial" w:cs="Arial"/>
        <w:sz w:val="15"/>
      </w:rPr>
      <w:t xml:space="preserve"> / July-August 2023 / Volume 43 Number 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AD87B" w14:textId="77777777" w:rsidR="006F0DDB" w:rsidRDefault="00000000">
    <w:pPr>
      <w:spacing w:after="0" w:line="259" w:lineRule="auto"/>
      <w:ind w:left="0" w:right="21" w:firstLine="0"/>
      <w:jc w:val="right"/>
    </w:pPr>
    <w:r>
      <w:rPr>
        <w:rFonts w:ascii="Calibri" w:eastAsia="Calibri" w:hAnsi="Calibri" w:cs="Calibri"/>
        <w:noProof/>
        <w:color w:val="000000"/>
        <w:sz w:val="22"/>
      </w:rPr>
      <mc:AlternateContent>
        <mc:Choice Requires="wpg">
          <w:drawing>
            <wp:anchor distT="0" distB="0" distL="114300" distR="114300" simplePos="0" relativeHeight="251668480" behindDoc="0" locked="0" layoutInCell="1" allowOverlap="1" wp14:anchorId="4D364F95" wp14:editId="3797F221">
              <wp:simplePos x="0" y="0"/>
              <wp:positionH relativeFrom="page">
                <wp:posOffset>609600</wp:posOffset>
              </wp:positionH>
              <wp:positionV relativeFrom="page">
                <wp:posOffset>9550400</wp:posOffset>
              </wp:positionV>
              <wp:extent cx="6210300" cy="12700"/>
              <wp:effectExtent l="0" t="0" r="0" b="0"/>
              <wp:wrapSquare wrapText="bothSides"/>
              <wp:docPr id="38495" name="Group 38495"/>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496" name="Shape 38496"/>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495" style="width:489pt;height:1pt;position:absolute;mso-position-horizontal-relative:page;mso-position-horizontal:absolute;margin-left:48pt;mso-position-vertical-relative:page;margin-top:752pt;" coordsize="62103,127">
              <v:shape id="Shape 38496" style="position:absolute;width:62103;height:0;left:0;top:0;" coordsize="6210300,0" path="m0,0l6210300,0">
                <v:stroke weight="1pt" endcap="flat" joinstyle="miter" miterlimit="10" on="true" color="#8982b3"/>
                <v:fill on="false" color="#000000" opacity="0"/>
              </v:shape>
              <w10:wrap type="square"/>
            </v:group>
          </w:pict>
        </mc:Fallback>
      </mc:AlternateContent>
    </w:r>
    <w:r>
      <w:rPr>
        <w:color w:val="563C80"/>
        <w:sz w:val="16"/>
      </w:rPr>
      <w:t>Urologic Nursing</w:t>
    </w:r>
    <w:r>
      <w:rPr>
        <w:rFonts w:ascii="Arial" w:eastAsia="Arial" w:hAnsi="Arial" w:cs="Arial"/>
        <w:sz w:val="15"/>
      </w:rPr>
      <w:t xml:space="preserve"> / July-August 2023 / Volume 43 Number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22943" w14:textId="77777777" w:rsidR="00931AEB" w:rsidRDefault="00931AEB">
      <w:pPr>
        <w:spacing w:after="0" w:line="240" w:lineRule="auto"/>
      </w:pPr>
      <w:r>
        <w:separator/>
      </w:r>
    </w:p>
  </w:footnote>
  <w:footnote w:type="continuationSeparator" w:id="0">
    <w:p w14:paraId="2EE1DEAC" w14:textId="77777777" w:rsidR="00931AEB" w:rsidRDefault="00931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A4206" w14:textId="77777777" w:rsidR="006F0DDB" w:rsidRDefault="00000000">
    <w:pPr>
      <w:spacing w:after="0" w:line="259" w:lineRule="auto"/>
      <w:ind w:right="0" w:firstLine="0"/>
      <w:jc w:val="left"/>
    </w:pPr>
    <w:r>
      <w:rPr>
        <w:rFonts w:ascii="Calibri" w:eastAsia="Calibri" w:hAnsi="Calibri" w:cs="Calibri"/>
        <w:noProof/>
        <w:color w:val="000000"/>
        <w:sz w:val="22"/>
      </w:rPr>
      <mc:AlternateContent>
        <mc:Choice Requires="wpg">
          <w:drawing>
            <wp:anchor distT="0" distB="0" distL="114300" distR="114300" simplePos="0" relativeHeight="251658240" behindDoc="0" locked="0" layoutInCell="1" allowOverlap="1" wp14:anchorId="1B08AE92" wp14:editId="371DD5E8">
              <wp:simplePos x="0" y="0"/>
              <wp:positionH relativeFrom="page">
                <wp:posOffset>609600</wp:posOffset>
              </wp:positionH>
              <wp:positionV relativeFrom="page">
                <wp:posOffset>774700</wp:posOffset>
              </wp:positionV>
              <wp:extent cx="6210300" cy="12700"/>
              <wp:effectExtent l="0" t="0" r="0" b="0"/>
              <wp:wrapSquare wrapText="bothSides"/>
              <wp:docPr id="38450" name="Group 38450"/>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451" name="Shape 38451"/>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450" style="width:489pt;height:1pt;position:absolute;mso-position-horizontal-relative:page;mso-position-horizontal:absolute;margin-left:48pt;mso-position-vertical-relative:page;margin-top:61pt;" coordsize="62103,127">
              <v:shape id="Shape 38451" style="position:absolute;width:62103;height:0;left:0;top:0;" coordsize="6210300,0" path="m0,0l6210300,0">
                <v:stroke weight="1pt" endcap="flat" joinstyle="miter" miterlimit="10" on="true" color="#8982b3"/>
                <v:fill on="false" color="#000000" opacity="0"/>
              </v:shape>
              <w10:wrap type="square"/>
            </v:group>
          </w:pict>
        </mc:Fallback>
      </mc:AlternateContent>
    </w:r>
    <w:r>
      <w:rPr>
        <w:color w:val="563C80"/>
        <w:sz w:val="16"/>
      </w:rPr>
      <w:t>Research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D7565" w14:textId="77777777" w:rsidR="006F0DDB" w:rsidRDefault="00000000">
    <w:pPr>
      <w:spacing w:after="0" w:line="259" w:lineRule="auto"/>
      <w:ind w:left="0" w:right="-1" w:firstLine="0"/>
      <w:jc w:val="right"/>
    </w:pPr>
    <w:r>
      <w:rPr>
        <w:rFonts w:ascii="Calibri" w:eastAsia="Calibri" w:hAnsi="Calibri" w:cs="Calibri"/>
        <w:noProof/>
        <w:color w:val="000000"/>
        <w:sz w:val="22"/>
      </w:rPr>
      <mc:AlternateContent>
        <mc:Choice Requires="wpg">
          <w:drawing>
            <wp:anchor distT="0" distB="0" distL="114300" distR="114300" simplePos="0" relativeHeight="251659264" behindDoc="0" locked="0" layoutInCell="1" allowOverlap="1" wp14:anchorId="0EA3FEF9" wp14:editId="44795A31">
              <wp:simplePos x="0" y="0"/>
              <wp:positionH relativeFrom="page">
                <wp:posOffset>609600</wp:posOffset>
              </wp:positionH>
              <wp:positionV relativeFrom="page">
                <wp:posOffset>774700</wp:posOffset>
              </wp:positionV>
              <wp:extent cx="6210300" cy="12700"/>
              <wp:effectExtent l="0" t="0" r="0" b="0"/>
              <wp:wrapSquare wrapText="bothSides"/>
              <wp:docPr id="38431" name="Group 38431"/>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432" name="Shape 38432"/>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431" style="width:489pt;height:1pt;position:absolute;mso-position-horizontal-relative:page;mso-position-horizontal:absolute;margin-left:48pt;mso-position-vertical-relative:page;margin-top:61pt;" coordsize="62103,127">
              <v:shape id="Shape 38432" style="position:absolute;width:62103;height:0;left:0;top:0;" coordsize="6210300,0" path="m0,0l6210300,0">
                <v:stroke weight="1pt" endcap="flat" joinstyle="miter" miterlimit="10" on="true" color="#8982b3"/>
                <v:fill on="false" color="#000000" opacity="0"/>
              </v:shape>
              <w10:wrap type="square"/>
            </v:group>
          </w:pict>
        </mc:Fallback>
      </mc:AlternateContent>
    </w:r>
    <w:r>
      <w:rPr>
        <w:sz w:val="16"/>
      </w:rPr>
      <w:t>Impact of Practice on Quality of Life of those Living with an Indwelling Urinary Catheter – An International Evaluation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27739" w14:textId="77777777" w:rsidR="006F0DDB" w:rsidRDefault="006F0DDB">
    <w:pPr>
      <w:spacing w:after="160" w:line="259" w:lineRule="auto"/>
      <w:ind w:left="0" w:righ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22651" w14:textId="77777777" w:rsidR="006F0DDB" w:rsidRDefault="00000000">
    <w:pPr>
      <w:spacing w:after="0" w:line="259" w:lineRule="auto"/>
      <w:ind w:left="-980" w:right="10740" w:firstLine="0"/>
      <w:jc w:val="left"/>
    </w:pPr>
    <w:r>
      <w:rPr>
        <w:rFonts w:ascii="Calibri" w:eastAsia="Calibri" w:hAnsi="Calibri" w:cs="Calibri"/>
        <w:noProof/>
        <w:color w:val="000000"/>
        <w:sz w:val="22"/>
      </w:rPr>
      <mc:AlternateContent>
        <mc:Choice Requires="wpg">
          <w:drawing>
            <wp:anchor distT="0" distB="0" distL="114300" distR="114300" simplePos="0" relativeHeight="251663360" behindDoc="0" locked="0" layoutInCell="1" allowOverlap="1" wp14:anchorId="550B9257" wp14:editId="37F9F2EA">
              <wp:simplePos x="0" y="0"/>
              <wp:positionH relativeFrom="page">
                <wp:posOffset>609600</wp:posOffset>
              </wp:positionH>
              <wp:positionV relativeFrom="page">
                <wp:posOffset>774700</wp:posOffset>
              </wp:positionV>
              <wp:extent cx="6210300" cy="12700"/>
              <wp:effectExtent l="0" t="0" r="0" b="0"/>
              <wp:wrapSquare wrapText="bothSides"/>
              <wp:docPr id="38516" name="Group 38516"/>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517" name="Shape 38517"/>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516" style="width:489pt;height:1pt;position:absolute;mso-position-horizontal-relative:page;mso-position-horizontal:absolute;margin-left:48pt;mso-position-vertical-relative:page;margin-top:61pt;" coordsize="62103,127">
              <v:shape id="Shape 38517" style="position:absolute;width:62103;height:0;left:0;top:0;" coordsize="6210300,0" path="m0,0l6210300,0">
                <v:stroke weight="1pt" endcap="flat" joinstyle="miter" miterlimit="10" on="true" color="#8982b3"/>
                <v:fill on="false" color="#000000" opacity="0"/>
              </v:shape>
              <w10:wrap type="squar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0F73C" w14:textId="77777777" w:rsidR="006F0DDB" w:rsidRDefault="00000000">
    <w:pPr>
      <w:spacing w:after="0" w:line="259" w:lineRule="auto"/>
      <w:ind w:left="-980" w:right="10740" w:firstLine="0"/>
      <w:jc w:val="left"/>
    </w:pPr>
    <w:r>
      <w:rPr>
        <w:rFonts w:ascii="Calibri" w:eastAsia="Calibri" w:hAnsi="Calibri" w:cs="Calibri"/>
        <w:noProof/>
        <w:color w:val="000000"/>
        <w:sz w:val="22"/>
      </w:rPr>
      <mc:AlternateContent>
        <mc:Choice Requires="wpg">
          <w:drawing>
            <wp:anchor distT="0" distB="0" distL="114300" distR="114300" simplePos="0" relativeHeight="251664384" behindDoc="0" locked="0" layoutInCell="1" allowOverlap="1" wp14:anchorId="0AE8D6A6" wp14:editId="217F5767">
              <wp:simplePos x="0" y="0"/>
              <wp:positionH relativeFrom="page">
                <wp:posOffset>609600</wp:posOffset>
              </wp:positionH>
              <wp:positionV relativeFrom="page">
                <wp:posOffset>774700</wp:posOffset>
              </wp:positionV>
              <wp:extent cx="6210300" cy="12700"/>
              <wp:effectExtent l="0" t="0" r="0" b="0"/>
              <wp:wrapSquare wrapText="bothSides"/>
              <wp:docPr id="38501" name="Group 38501"/>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502" name="Shape 38502"/>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501" style="width:489pt;height:1pt;position:absolute;mso-position-horizontal-relative:page;mso-position-horizontal:absolute;margin-left:48pt;mso-position-vertical-relative:page;margin-top:61pt;" coordsize="62103,127">
              <v:shape id="Shape 38502" style="position:absolute;width:62103;height:0;left:0;top:0;" coordsize="6210300,0" path="m0,0l6210300,0">
                <v:stroke weight="1pt" endcap="flat" joinstyle="miter" miterlimit="10" on="true" color="#8982b3"/>
                <v:fill on="false" color="#000000" opacity="0"/>
              </v:shape>
              <w10:wrap type="squar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5ADFA" w14:textId="77777777" w:rsidR="006F0DDB" w:rsidRDefault="00000000">
    <w:pPr>
      <w:spacing w:after="0" w:line="259" w:lineRule="auto"/>
      <w:ind w:left="-980" w:right="10740" w:firstLine="0"/>
      <w:jc w:val="left"/>
    </w:pPr>
    <w:r>
      <w:rPr>
        <w:rFonts w:ascii="Calibri" w:eastAsia="Calibri" w:hAnsi="Calibri" w:cs="Calibri"/>
        <w:noProof/>
        <w:color w:val="000000"/>
        <w:sz w:val="22"/>
      </w:rPr>
      <mc:AlternateContent>
        <mc:Choice Requires="wpg">
          <w:drawing>
            <wp:anchor distT="0" distB="0" distL="114300" distR="114300" simplePos="0" relativeHeight="251665408" behindDoc="0" locked="0" layoutInCell="1" allowOverlap="1" wp14:anchorId="742F2524" wp14:editId="4FB0D05D">
              <wp:simplePos x="0" y="0"/>
              <wp:positionH relativeFrom="page">
                <wp:posOffset>609600</wp:posOffset>
              </wp:positionH>
              <wp:positionV relativeFrom="page">
                <wp:posOffset>774700</wp:posOffset>
              </wp:positionV>
              <wp:extent cx="6210300" cy="12700"/>
              <wp:effectExtent l="0" t="0" r="0" b="0"/>
              <wp:wrapSquare wrapText="bothSides"/>
              <wp:docPr id="38486" name="Group 38486"/>
              <wp:cNvGraphicFramePr/>
              <a:graphic xmlns:a="http://schemas.openxmlformats.org/drawingml/2006/main">
                <a:graphicData uri="http://schemas.microsoft.com/office/word/2010/wordprocessingGroup">
                  <wpg:wgp>
                    <wpg:cNvGrpSpPr/>
                    <wpg:grpSpPr>
                      <a:xfrm>
                        <a:off x="0" y="0"/>
                        <a:ext cx="6210300" cy="12700"/>
                        <a:chOff x="0" y="0"/>
                        <a:chExt cx="6210300" cy="12700"/>
                      </a:xfrm>
                    </wpg:grpSpPr>
                    <wps:wsp>
                      <wps:cNvPr id="38487" name="Shape 38487"/>
                      <wps:cNvSpPr/>
                      <wps:spPr>
                        <a:xfrm>
                          <a:off x="0" y="0"/>
                          <a:ext cx="6210300" cy="0"/>
                        </a:xfrm>
                        <a:custGeom>
                          <a:avLst/>
                          <a:gdLst/>
                          <a:ahLst/>
                          <a:cxnLst/>
                          <a:rect l="0" t="0" r="0" b="0"/>
                          <a:pathLst>
                            <a:path w="6210300">
                              <a:moveTo>
                                <a:pt x="0" y="0"/>
                              </a:moveTo>
                              <a:lnTo>
                                <a:pt x="6210300" y="0"/>
                              </a:lnTo>
                            </a:path>
                          </a:pathLst>
                        </a:custGeom>
                        <a:ln w="12700" cap="flat">
                          <a:miter lim="127000"/>
                        </a:ln>
                      </wps:spPr>
                      <wps:style>
                        <a:lnRef idx="1">
                          <a:srgbClr val="8982B3"/>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38486" style="width:489pt;height:1pt;position:absolute;mso-position-horizontal-relative:page;mso-position-horizontal:absolute;margin-left:48pt;mso-position-vertical-relative:page;margin-top:61pt;" coordsize="62103,127">
              <v:shape id="Shape 38487" style="position:absolute;width:62103;height:0;left:0;top:0;" coordsize="6210300,0" path="m0,0l6210300,0">
                <v:stroke weight="1pt" endcap="flat" joinstyle="miter" miterlimit="10" on="true" color="#8982b3"/>
                <v:fill on="false" color="#000000" opacity="0"/>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42295C"/>
    <w:multiLevelType w:val="hybridMultilevel"/>
    <w:tmpl w:val="AFECA2D0"/>
    <w:lvl w:ilvl="0" w:tplc="87042ECA">
      <w:start w:val="2"/>
      <w:numFmt w:val="decimal"/>
      <w:lvlText w:val="%1"/>
      <w:lvlJc w:val="left"/>
      <w:pPr>
        <w:ind w:left="412"/>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1" w:tplc="87425EC0">
      <w:start w:val="1"/>
      <w:numFmt w:val="lowerLetter"/>
      <w:lvlText w:val="%2"/>
      <w:lvlJc w:val="left"/>
      <w:pPr>
        <w:ind w:left="1989"/>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2" w:tplc="6DA26B28">
      <w:start w:val="1"/>
      <w:numFmt w:val="lowerRoman"/>
      <w:lvlText w:val="%3"/>
      <w:lvlJc w:val="left"/>
      <w:pPr>
        <w:ind w:left="2709"/>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3" w:tplc="46C4509A">
      <w:start w:val="1"/>
      <w:numFmt w:val="decimal"/>
      <w:lvlText w:val="%4"/>
      <w:lvlJc w:val="left"/>
      <w:pPr>
        <w:ind w:left="3429"/>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4" w:tplc="AF2C96CC">
      <w:start w:val="1"/>
      <w:numFmt w:val="lowerLetter"/>
      <w:lvlText w:val="%5"/>
      <w:lvlJc w:val="left"/>
      <w:pPr>
        <w:ind w:left="4149"/>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5" w:tplc="BFC46484">
      <w:start w:val="1"/>
      <w:numFmt w:val="lowerRoman"/>
      <w:lvlText w:val="%6"/>
      <w:lvlJc w:val="left"/>
      <w:pPr>
        <w:ind w:left="4869"/>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6" w:tplc="8ED87612">
      <w:start w:val="1"/>
      <w:numFmt w:val="decimal"/>
      <w:lvlText w:val="%7"/>
      <w:lvlJc w:val="left"/>
      <w:pPr>
        <w:ind w:left="5589"/>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7" w:tplc="18B680C4">
      <w:start w:val="1"/>
      <w:numFmt w:val="lowerLetter"/>
      <w:lvlText w:val="%8"/>
      <w:lvlJc w:val="left"/>
      <w:pPr>
        <w:ind w:left="6309"/>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lvl w:ilvl="8" w:tplc="70365ED2">
      <w:start w:val="1"/>
      <w:numFmt w:val="lowerRoman"/>
      <w:lvlText w:val="%9"/>
      <w:lvlJc w:val="left"/>
      <w:pPr>
        <w:ind w:left="7029"/>
      </w:pPr>
      <w:rPr>
        <w:rFonts w:ascii="Arial" w:eastAsia="Arial" w:hAnsi="Arial" w:cs="Arial"/>
        <w:b w:val="0"/>
        <w:i w:val="0"/>
        <w:strike w:val="0"/>
        <w:dstrike w:val="0"/>
        <w:color w:val="181717"/>
        <w:sz w:val="18"/>
        <w:szCs w:val="18"/>
        <w:u w:val="none" w:color="000000"/>
        <w:bdr w:val="none" w:sz="0" w:space="0" w:color="auto"/>
        <w:shd w:val="clear" w:color="auto" w:fill="auto"/>
        <w:vertAlign w:val="baseline"/>
      </w:rPr>
    </w:lvl>
  </w:abstractNum>
  <w:num w:numId="1" w16cid:durableId="8528858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DDB"/>
    <w:rsid w:val="00300B6A"/>
    <w:rsid w:val="006F0DDB"/>
    <w:rsid w:val="008265C7"/>
    <w:rsid w:val="00931A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1221E"/>
  <w15:docId w15:val="{8745C8DE-4724-4F0B-822A-19DD0E13D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31" w:lineRule="auto"/>
      <w:ind w:left="20" w:right="71" w:firstLine="350"/>
      <w:jc w:val="both"/>
    </w:pPr>
    <w:rPr>
      <w:rFonts w:ascii="Times New Roman" w:eastAsia="Times New Roman" w:hAnsi="Times New Roman" w:cs="Times New Roman"/>
      <w:color w:val="181717"/>
      <w:sz w:val="20"/>
    </w:rPr>
  </w:style>
  <w:style w:type="paragraph" w:styleId="Heading1">
    <w:name w:val="heading 1"/>
    <w:next w:val="Normal"/>
    <w:link w:val="Heading1Char"/>
    <w:uiPriority w:val="9"/>
    <w:qFormat/>
    <w:pPr>
      <w:keepNext/>
      <w:keepLines/>
      <w:spacing w:after="0"/>
      <w:ind w:left="20"/>
      <w:outlineLvl w:val="0"/>
    </w:pPr>
    <w:rPr>
      <w:rFonts w:ascii="Times New Roman" w:eastAsia="Times New Roman" w:hAnsi="Times New Roman" w:cs="Times New Roman"/>
      <w:color w:val="181717"/>
      <w:sz w:val="28"/>
    </w:rPr>
  </w:style>
  <w:style w:type="paragraph" w:styleId="Heading2">
    <w:name w:val="heading 2"/>
    <w:next w:val="Normal"/>
    <w:link w:val="Heading2Char"/>
    <w:uiPriority w:val="9"/>
    <w:unhideWhenUsed/>
    <w:qFormat/>
    <w:pPr>
      <w:keepNext/>
      <w:keepLines/>
      <w:spacing w:after="0"/>
      <w:ind w:left="10" w:hanging="10"/>
      <w:outlineLvl w:val="1"/>
    </w:pPr>
    <w:rPr>
      <w:rFonts w:ascii="Times New Roman" w:eastAsia="Times New Roman" w:hAnsi="Times New Roman" w:cs="Times New Roman"/>
      <w:color w:val="563C80"/>
    </w:rPr>
  </w:style>
  <w:style w:type="paragraph" w:styleId="Heading3">
    <w:name w:val="heading 3"/>
    <w:next w:val="Normal"/>
    <w:link w:val="Heading3Char"/>
    <w:uiPriority w:val="9"/>
    <w:unhideWhenUsed/>
    <w:qFormat/>
    <w:pPr>
      <w:keepNext/>
      <w:keepLines/>
      <w:spacing w:after="10"/>
      <w:ind w:left="30" w:hanging="10"/>
      <w:outlineLvl w:val="2"/>
    </w:pPr>
    <w:rPr>
      <w:rFonts w:ascii="Times New Roman" w:eastAsia="Times New Roman" w:hAnsi="Times New Roman" w:cs="Times New Roman"/>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181717"/>
      <w:sz w:val="20"/>
    </w:rPr>
  </w:style>
  <w:style w:type="character" w:customStyle="1" w:styleId="Heading2Char">
    <w:name w:val="Heading 2 Char"/>
    <w:link w:val="Heading2"/>
    <w:rPr>
      <w:rFonts w:ascii="Times New Roman" w:eastAsia="Times New Roman" w:hAnsi="Times New Roman" w:cs="Times New Roman"/>
      <w:color w:val="563C80"/>
      <w:sz w:val="22"/>
    </w:rPr>
  </w:style>
  <w:style w:type="character" w:customStyle="1" w:styleId="Heading1Char">
    <w:name w:val="Heading 1 Char"/>
    <w:link w:val="Heading1"/>
    <w:rPr>
      <w:rFonts w:ascii="Times New Roman" w:eastAsia="Times New Roman" w:hAnsi="Times New Roman" w:cs="Times New Roman"/>
      <w:color w:val="181717"/>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4e8d09f7-cc79-4ccb-9149-a4238dd17422}" enabled="0" method="" siteId="{4e8d09f7-cc79-4ccb-9149-a4238dd17422}" removed="1"/>
</clbl:labelList>
</file>

<file path=docProps/app.xml><?xml version="1.0" encoding="utf-8"?>
<Properties xmlns="http://schemas.openxmlformats.org/officeDocument/2006/extended-properties" xmlns:vt="http://schemas.openxmlformats.org/officeDocument/2006/docPropsVTypes">
  <Template>Normal.dotm</Template>
  <TotalTime>272</TotalTime>
  <Pages>13</Pages>
  <Words>6954</Words>
  <Characters>39641</Characters>
  <Application>Microsoft Office Word</Application>
  <DocSecurity>0</DocSecurity>
  <Lines>330</Lines>
  <Paragraphs>93</Paragraphs>
  <ScaleCrop>false</ScaleCrop>
  <Company/>
  <LinksUpToDate>false</LinksUpToDate>
  <CharactersWithSpaces>46502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Shepherd</dc:creator>
  <cp:keywords/>
  <cp:lastModifiedBy>Ashley Shepherd</cp:lastModifiedBy>
  <cp:revision>3</cp:revision>
  <dcterms:created xsi:type="dcterms:W3CDTF">2023-08-21T07:37:00Z</dcterms:created>
  <dcterms:modified xsi:type="dcterms:W3CDTF">2023-08-21T13:19:00Z</dcterms:modified>
</cp:coreProperties>
</file>